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51FF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75461307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7E1E25E9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7B6FB870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0F0C3352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0A07BE74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4633E671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2DC98C5F" w14:textId="66222009" w:rsidR="00282B34" w:rsidRPr="00282B34" w:rsidRDefault="00282B34" w:rsidP="00282B34">
      <w:pPr>
        <w:jc w:val="center"/>
        <w:rPr>
          <w:b/>
          <w:bCs/>
          <w:sz w:val="28"/>
          <w:szCs w:val="28"/>
          <w:lang w:eastAsia="zh-CN"/>
        </w:rPr>
      </w:pPr>
      <w:r w:rsidRPr="00282B34">
        <w:rPr>
          <w:b/>
          <w:bCs/>
          <w:sz w:val="28"/>
          <w:szCs w:val="28"/>
        </w:rPr>
        <w:t>I</w:t>
      </w:r>
      <w:r w:rsidRPr="00282B34">
        <w:rPr>
          <w:rFonts w:hint="eastAsia"/>
          <w:b/>
          <w:bCs/>
          <w:sz w:val="28"/>
          <w:szCs w:val="28"/>
          <w:lang w:eastAsia="zh-CN"/>
        </w:rPr>
        <w:t>ndus</w:t>
      </w:r>
      <w:r w:rsidRPr="00282B34">
        <w:rPr>
          <w:b/>
          <w:bCs/>
          <w:sz w:val="28"/>
          <w:szCs w:val="28"/>
          <w:lang w:eastAsia="zh-CN"/>
        </w:rPr>
        <w:t>trial Bank Co., Ltd</w:t>
      </w:r>
    </w:p>
    <w:p w14:paraId="40E06729" w14:textId="7C7BA082" w:rsidR="00282B34" w:rsidRPr="00282B34" w:rsidRDefault="00282B34" w:rsidP="00282B34">
      <w:pPr>
        <w:jc w:val="center"/>
        <w:rPr>
          <w:b/>
          <w:bCs/>
          <w:sz w:val="28"/>
          <w:szCs w:val="28"/>
          <w:lang w:eastAsia="zh-CN"/>
        </w:rPr>
      </w:pPr>
      <w:r w:rsidRPr="00282B34">
        <w:rPr>
          <w:b/>
          <w:bCs/>
          <w:sz w:val="28"/>
          <w:szCs w:val="28"/>
        </w:rPr>
        <w:t>Internal Control Audit Report</w:t>
      </w:r>
    </w:p>
    <w:p w14:paraId="7BE2757E" w14:textId="77777777" w:rsidR="00282B34" w:rsidRPr="00282B34" w:rsidRDefault="00282B34" w:rsidP="00282B34">
      <w:pPr>
        <w:jc w:val="center"/>
        <w:rPr>
          <w:b/>
          <w:bCs/>
          <w:sz w:val="28"/>
          <w:szCs w:val="28"/>
        </w:rPr>
      </w:pPr>
      <w:r w:rsidRPr="00282B34">
        <w:rPr>
          <w:b/>
          <w:bCs/>
          <w:sz w:val="28"/>
          <w:szCs w:val="28"/>
        </w:rPr>
        <w:t>as of December 31, 2022</w:t>
      </w:r>
    </w:p>
    <w:p w14:paraId="683BB1A6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0A2CF9C3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2ADF0DD5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2520A0BF" w14:textId="77777777" w:rsidR="00282B34" w:rsidRDefault="00282B34" w:rsidP="00282B34">
      <w:pPr>
        <w:jc w:val="center"/>
        <w:rPr>
          <w:sz w:val="21"/>
          <w:szCs w:val="21"/>
        </w:rPr>
      </w:pPr>
    </w:p>
    <w:p w14:paraId="08D8FEA2" w14:textId="77777777" w:rsidR="00282B34" w:rsidRDefault="00282B34" w:rsidP="00282B34">
      <w:pPr>
        <w:jc w:val="center"/>
        <w:rPr>
          <w:sz w:val="21"/>
          <w:szCs w:val="21"/>
        </w:rPr>
      </w:pPr>
    </w:p>
    <w:p w14:paraId="1CD744B3" w14:textId="77777777" w:rsidR="00282B34" w:rsidRDefault="00282B34" w:rsidP="00282B34">
      <w:pPr>
        <w:jc w:val="center"/>
        <w:rPr>
          <w:sz w:val="21"/>
          <w:szCs w:val="21"/>
        </w:rPr>
      </w:pPr>
    </w:p>
    <w:p w14:paraId="251992B8" w14:textId="77777777" w:rsidR="00282B34" w:rsidRDefault="00282B34" w:rsidP="00282B34">
      <w:pPr>
        <w:jc w:val="center"/>
        <w:rPr>
          <w:sz w:val="21"/>
          <w:szCs w:val="21"/>
        </w:rPr>
      </w:pPr>
    </w:p>
    <w:p w14:paraId="63DF413E" w14:textId="77777777" w:rsidR="00282B34" w:rsidRDefault="00282B34" w:rsidP="00282B34">
      <w:pPr>
        <w:jc w:val="center"/>
        <w:rPr>
          <w:sz w:val="21"/>
          <w:szCs w:val="21"/>
        </w:rPr>
      </w:pPr>
    </w:p>
    <w:p w14:paraId="7AA79D38" w14:textId="77777777" w:rsidR="00282B34" w:rsidRDefault="00282B34" w:rsidP="00282B34">
      <w:pPr>
        <w:jc w:val="center"/>
        <w:rPr>
          <w:sz w:val="21"/>
          <w:szCs w:val="21"/>
        </w:rPr>
      </w:pPr>
    </w:p>
    <w:p w14:paraId="4AB32E87" w14:textId="77777777" w:rsidR="00282B34" w:rsidRDefault="00282B34" w:rsidP="00282B34">
      <w:pPr>
        <w:jc w:val="center"/>
        <w:rPr>
          <w:sz w:val="21"/>
          <w:szCs w:val="21"/>
        </w:rPr>
      </w:pPr>
    </w:p>
    <w:p w14:paraId="210C6F0F" w14:textId="77777777" w:rsidR="00282B34" w:rsidRDefault="00282B34" w:rsidP="00282B34">
      <w:pPr>
        <w:jc w:val="center"/>
        <w:rPr>
          <w:sz w:val="21"/>
          <w:szCs w:val="21"/>
        </w:rPr>
      </w:pPr>
    </w:p>
    <w:p w14:paraId="1D765646" w14:textId="77777777" w:rsidR="00282B34" w:rsidRDefault="00282B34" w:rsidP="00282B34">
      <w:pPr>
        <w:jc w:val="center"/>
        <w:rPr>
          <w:sz w:val="21"/>
          <w:szCs w:val="21"/>
        </w:rPr>
      </w:pPr>
    </w:p>
    <w:p w14:paraId="11341D24" w14:textId="77777777" w:rsidR="00282B34" w:rsidRDefault="00282B34" w:rsidP="00282B34">
      <w:pPr>
        <w:jc w:val="center"/>
        <w:rPr>
          <w:sz w:val="21"/>
          <w:szCs w:val="21"/>
        </w:rPr>
      </w:pPr>
    </w:p>
    <w:p w14:paraId="3F2E0F89" w14:textId="77777777" w:rsidR="00282B34" w:rsidRDefault="00282B34" w:rsidP="00282B34">
      <w:pPr>
        <w:jc w:val="center"/>
        <w:rPr>
          <w:sz w:val="21"/>
          <w:szCs w:val="21"/>
        </w:rPr>
      </w:pPr>
    </w:p>
    <w:p w14:paraId="34779DEB" w14:textId="77777777" w:rsidR="00282B34" w:rsidRDefault="00282B34" w:rsidP="00282B34">
      <w:pPr>
        <w:jc w:val="center"/>
        <w:rPr>
          <w:sz w:val="21"/>
          <w:szCs w:val="21"/>
        </w:rPr>
      </w:pPr>
    </w:p>
    <w:p w14:paraId="4115649A" w14:textId="77777777" w:rsidR="00282B34" w:rsidRDefault="00282B34" w:rsidP="00282B34">
      <w:pPr>
        <w:jc w:val="center"/>
        <w:rPr>
          <w:sz w:val="21"/>
          <w:szCs w:val="21"/>
        </w:rPr>
      </w:pPr>
    </w:p>
    <w:p w14:paraId="4B6D600E" w14:textId="77777777" w:rsidR="00282B34" w:rsidRDefault="00282B34" w:rsidP="00282B34">
      <w:pPr>
        <w:jc w:val="center"/>
        <w:rPr>
          <w:sz w:val="21"/>
          <w:szCs w:val="21"/>
        </w:rPr>
      </w:pPr>
    </w:p>
    <w:p w14:paraId="41AF0FBC" w14:textId="77777777" w:rsidR="00282B34" w:rsidRDefault="00282B34" w:rsidP="00282B34">
      <w:pPr>
        <w:jc w:val="center"/>
        <w:rPr>
          <w:sz w:val="21"/>
          <w:szCs w:val="21"/>
        </w:rPr>
      </w:pPr>
    </w:p>
    <w:p w14:paraId="0F7A5B60" w14:textId="77777777" w:rsidR="00282B34" w:rsidRDefault="00282B34" w:rsidP="00282B34">
      <w:pPr>
        <w:jc w:val="center"/>
        <w:rPr>
          <w:sz w:val="21"/>
          <w:szCs w:val="21"/>
        </w:rPr>
      </w:pPr>
    </w:p>
    <w:p w14:paraId="5BE5AED0" w14:textId="77777777" w:rsidR="00282B34" w:rsidRDefault="00282B34" w:rsidP="00282B34">
      <w:pPr>
        <w:jc w:val="center"/>
        <w:rPr>
          <w:sz w:val="21"/>
          <w:szCs w:val="21"/>
        </w:rPr>
      </w:pPr>
    </w:p>
    <w:p w14:paraId="0F026051" w14:textId="77777777" w:rsidR="00282B34" w:rsidRDefault="00282B34" w:rsidP="00282B34">
      <w:pPr>
        <w:jc w:val="center"/>
        <w:rPr>
          <w:sz w:val="21"/>
          <w:szCs w:val="21"/>
        </w:rPr>
      </w:pPr>
    </w:p>
    <w:p w14:paraId="4C0A1559" w14:textId="77777777" w:rsidR="00282B34" w:rsidRDefault="00282B34" w:rsidP="00282B34">
      <w:pPr>
        <w:jc w:val="center"/>
        <w:rPr>
          <w:sz w:val="21"/>
          <w:szCs w:val="21"/>
        </w:rPr>
      </w:pPr>
    </w:p>
    <w:p w14:paraId="29A079F3" w14:textId="77777777" w:rsidR="00282B34" w:rsidRDefault="00282B34" w:rsidP="00282B34">
      <w:pPr>
        <w:jc w:val="center"/>
        <w:rPr>
          <w:sz w:val="21"/>
          <w:szCs w:val="21"/>
        </w:rPr>
      </w:pPr>
    </w:p>
    <w:p w14:paraId="36723E79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3AF4791C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0499B56C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6253F9D6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22785F01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2B148358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009332E2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5118B98F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042DD03E" w14:textId="77777777" w:rsidR="00282B34" w:rsidRPr="00282B34" w:rsidRDefault="00282B34" w:rsidP="00282B34">
      <w:pPr>
        <w:jc w:val="center"/>
        <w:rPr>
          <w:sz w:val="21"/>
          <w:szCs w:val="21"/>
        </w:rPr>
      </w:pPr>
    </w:p>
    <w:p w14:paraId="01041F24" w14:textId="1A9FCCF9" w:rsidR="00282B34" w:rsidRPr="00282B34" w:rsidRDefault="00282B34" w:rsidP="00282B34">
      <w:pPr>
        <w:jc w:val="center"/>
        <w:rPr>
          <w:sz w:val="21"/>
          <w:szCs w:val="21"/>
        </w:rPr>
      </w:pPr>
      <w:r w:rsidRPr="00282B34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F87373B" wp14:editId="12AC6EE7">
            <wp:simplePos x="0" y="0"/>
            <wp:positionH relativeFrom="column">
              <wp:posOffset>-1100727</wp:posOffset>
            </wp:positionH>
            <wp:positionV relativeFrom="paragraph">
              <wp:posOffset>-930094</wp:posOffset>
            </wp:positionV>
            <wp:extent cx="7685776" cy="2269672"/>
            <wp:effectExtent l="0" t="0" r="0" b="3810"/>
            <wp:wrapNone/>
            <wp:docPr id="166177945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77945" name="图片 1" descr="文本&#10;&#10;描述已自动生成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776" cy="22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22881" w14:textId="77777777" w:rsidR="00282B34" w:rsidRPr="00282B34" w:rsidRDefault="00282B34">
      <w:pPr>
        <w:rPr>
          <w:sz w:val="21"/>
          <w:szCs w:val="21"/>
        </w:rPr>
      </w:pPr>
    </w:p>
    <w:p w14:paraId="0C2F3870" w14:textId="77777777" w:rsidR="00282B34" w:rsidRPr="00282B34" w:rsidRDefault="00282B34">
      <w:pPr>
        <w:rPr>
          <w:sz w:val="21"/>
          <w:szCs w:val="21"/>
        </w:rPr>
      </w:pPr>
    </w:p>
    <w:p w14:paraId="09B34B69" w14:textId="77777777" w:rsidR="00282B34" w:rsidRPr="00282B34" w:rsidRDefault="00282B34">
      <w:pPr>
        <w:rPr>
          <w:sz w:val="21"/>
          <w:szCs w:val="21"/>
        </w:rPr>
      </w:pPr>
    </w:p>
    <w:p w14:paraId="1C4ED000" w14:textId="77777777" w:rsidR="00282B34" w:rsidRPr="00282B34" w:rsidRDefault="00282B34">
      <w:pPr>
        <w:rPr>
          <w:sz w:val="21"/>
          <w:szCs w:val="21"/>
        </w:rPr>
      </w:pPr>
    </w:p>
    <w:p w14:paraId="76C399FC" w14:textId="77777777" w:rsidR="000B183C" w:rsidRDefault="000B183C" w:rsidP="00282B34">
      <w:pPr>
        <w:jc w:val="center"/>
        <w:rPr>
          <w:b/>
          <w:bCs/>
          <w:sz w:val="21"/>
          <w:szCs w:val="21"/>
          <w:lang w:eastAsia="zh-CN"/>
        </w:rPr>
      </w:pPr>
    </w:p>
    <w:p w14:paraId="54AA08C5" w14:textId="77777777" w:rsidR="000B183C" w:rsidRDefault="000B183C" w:rsidP="00282B34">
      <w:pPr>
        <w:jc w:val="center"/>
        <w:rPr>
          <w:b/>
          <w:bCs/>
          <w:sz w:val="21"/>
          <w:szCs w:val="21"/>
          <w:lang w:eastAsia="zh-CN"/>
        </w:rPr>
      </w:pPr>
    </w:p>
    <w:p w14:paraId="405EABC9" w14:textId="77777777" w:rsidR="000B183C" w:rsidRDefault="000B183C" w:rsidP="00282B34">
      <w:pPr>
        <w:jc w:val="center"/>
        <w:rPr>
          <w:b/>
          <w:bCs/>
          <w:sz w:val="21"/>
          <w:szCs w:val="21"/>
          <w:lang w:eastAsia="zh-CN"/>
        </w:rPr>
      </w:pPr>
    </w:p>
    <w:p w14:paraId="34A8D415" w14:textId="1A1F5DD0" w:rsidR="00282B34" w:rsidRPr="00282B34" w:rsidRDefault="00282B34" w:rsidP="00282B34">
      <w:pPr>
        <w:jc w:val="center"/>
        <w:rPr>
          <w:b/>
          <w:bCs/>
          <w:sz w:val="21"/>
          <w:szCs w:val="21"/>
          <w:lang w:eastAsia="zh-CN"/>
        </w:rPr>
      </w:pPr>
      <w:r w:rsidRPr="00282B34">
        <w:rPr>
          <w:rFonts w:hint="eastAsia"/>
          <w:b/>
          <w:bCs/>
          <w:sz w:val="21"/>
          <w:szCs w:val="21"/>
          <w:lang w:eastAsia="zh-CN"/>
        </w:rPr>
        <w:t>Int</w:t>
      </w:r>
      <w:r w:rsidRPr="00282B34">
        <w:rPr>
          <w:b/>
          <w:bCs/>
          <w:sz w:val="21"/>
          <w:szCs w:val="21"/>
          <w:lang w:eastAsia="zh-CN"/>
        </w:rPr>
        <w:t>ernal Control Audit Report</w:t>
      </w:r>
    </w:p>
    <w:p w14:paraId="7EA6BB4A" w14:textId="2F497909" w:rsidR="00282B34" w:rsidRPr="00282B34" w:rsidRDefault="00282B34" w:rsidP="00282B34">
      <w:pPr>
        <w:jc w:val="right"/>
        <w:rPr>
          <w:sz w:val="21"/>
          <w:szCs w:val="21"/>
          <w:lang w:eastAsia="zh-CN"/>
        </w:rPr>
      </w:pPr>
      <w:r w:rsidRPr="00282B34">
        <w:rPr>
          <w:sz w:val="21"/>
          <w:szCs w:val="21"/>
          <w:lang w:eastAsia="zh-CN"/>
        </w:rPr>
        <w:t>KPMG Hua Zhen Audit No. 2302250</w:t>
      </w:r>
    </w:p>
    <w:p w14:paraId="4A1D38F7" w14:textId="77777777" w:rsidR="00282B34" w:rsidRPr="00282B34" w:rsidRDefault="00282B34" w:rsidP="00282B34">
      <w:pPr>
        <w:jc w:val="right"/>
        <w:rPr>
          <w:sz w:val="21"/>
          <w:szCs w:val="21"/>
          <w:lang w:eastAsia="zh-CN"/>
        </w:rPr>
      </w:pPr>
    </w:p>
    <w:p w14:paraId="6E00CE97" w14:textId="77777777" w:rsidR="00282B34" w:rsidRPr="00282B34" w:rsidRDefault="00282B34" w:rsidP="00282B34">
      <w:pPr>
        <w:jc w:val="right"/>
        <w:rPr>
          <w:sz w:val="21"/>
          <w:szCs w:val="21"/>
          <w:lang w:eastAsia="zh-CN"/>
        </w:rPr>
      </w:pPr>
    </w:p>
    <w:p w14:paraId="45A526F7" w14:textId="0DACDFB4" w:rsidR="00282B34" w:rsidRPr="00282B34" w:rsidRDefault="00282B34" w:rsidP="00282B34">
      <w:pPr>
        <w:rPr>
          <w:sz w:val="21"/>
          <w:szCs w:val="21"/>
          <w:lang w:eastAsia="zh-CN"/>
        </w:rPr>
      </w:pPr>
      <w:r w:rsidRPr="00282B34">
        <w:rPr>
          <w:sz w:val="21"/>
          <w:szCs w:val="21"/>
          <w:lang w:eastAsia="zh-CN"/>
        </w:rPr>
        <w:t>To all shareholders of Industrial Bank Co</w:t>
      </w:r>
      <w:r w:rsidR="007304E1">
        <w:rPr>
          <w:sz w:val="21"/>
          <w:szCs w:val="21"/>
          <w:lang w:eastAsia="zh-CN"/>
        </w:rPr>
        <w:t>., Ltd</w:t>
      </w:r>
      <w:r w:rsidRPr="00282B34">
        <w:rPr>
          <w:sz w:val="21"/>
          <w:szCs w:val="21"/>
          <w:lang w:eastAsia="zh-CN"/>
        </w:rPr>
        <w:t>:</w:t>
      </w:r>
    </w:p>
    <w:p w14:paraId="6BD4A8A5" w14:textId="77777777" w:rsidR="00282B34" w:rsidRPr="007304E1" w:rsidRDefault="00282B34" w:rsidP="00282B34">
      <w:pPr>
        <w:rPr>
          <w:sz w:val="21"/>
          <w:szCs w:val="21"/>
          <w:lang w:eastAsia="zh-CN"/>
        </w:rPr>
      </w:pPr>
    </w:p>
    <w:p w14:paraId="11440D6C" w14:textId="77C80CAB" w:rsidR="00282B34" w:rsidRDefault="00282B34" w:rsidP="00282B34">
      <w:pPr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In accordance with the </w:t>
      </w:r>
      <w:r w:rsidRPr="00282B34">
        <w:rPr>
          <w:sz w:val="21"/>
          <w:szCs w:val="21"/>
          <w:lang w:eastAsia="zh-CN"/>
        </w:rPr>
        <w:t>Guidelines on Internal Control Auditing of Enterprises</w:t>
      </w:r>
      <w:r>
        <w:rPr>
          <w:sz w:val="21"/>
          <w:szCs w:val="21"/>
          <w:lang w:eastAsia="zh-CN"/>
        </w:rPr>
        <w:t xml:space="preserve"> </w:t>
      </w:r>
      <w:r w:rsidRPr="00282B34">
        <w:rPr>
          <w:sz w:val="21"/>
          <w:szCs w:val="21"/>
          <w:lang w:eastAsia="zh-CN"/>
        </w:rPr>
        <w:t>and the pertinent stipulations outlined in the China Standards for the Professional Practice of Certified Public Accountants</w:t>
      </w:r>
      <w:r>
        <w:rPr>
          <w:sz w:val="21"/>
          <w:szCs w:val="21"/>
          <w:lang w:eastAsia="zh-CN"/>
        </w:rPr>
        <w:t>, w</w:t>
      </w:r>
      <w:r w:rsidRPr="00282B34">
        <w:rPr>
          <w:sz w:val="21"/>
          <w:szCs w:val="21"/>
          <w:lang w:eastAsia="zh-CN"/>
        </w:rPr>
        <w:t>e have conducted an audit to assess the efficacy of the internal controls pertaining to financial reporting at Industrial Bank Co</w:t>
      </w:r>
      <w:r>
        <w:rPr>
          <w:sz w:val="21"/>
          <w:szCs w:val="21"/>
          <w:lang w:eastAsia="zh-CN"/>
        </w:rPr>
        <w:t>., Ltd</w:t>
      </w:r>
      <w:r w:rsidRPr="00282B34">
        <w:rPr>
          <w:sz w:val="21"/>
          <w:szCs w:val="21"/>
          <w:lang w:eastAsia="zh-CN"/>
        </w:rPr>
        <w:t xml:space="preserve"> (hereinafter referred to as </w:t>
      </w:r>
      <w:r>
        <w:rPr>
          <w:sz w:val="21"/>
          <w:szCs w:val="21"/>
          <w:lang w:eastAsia="zh-CN"/>
        </w:rPr>
        <w:t>t</w:t>
      </w:r>
      <w:r w:rsidRPr="00282B34">
        <w:rPr>
          <w:sz w:val="21"/>
          <w:szCs w:val="21"/>
          <w:lang w:eastAsia="zh-CN"/>
        </w:rPr>
        <w:t xml:space="preserve">he Bank) as of December 31, 2022.  </w:t>
      </w:r>
    </w:p>
    <w:p w14:paraId="6489D100" w14:textId="77777777" w:rsidR="00282B34" w:rsidRDefault="00282B34" w:rsidP="00282B34">
      <w:pPr>
        <w:rPr>
          <w:sz w:val="21"/>
          <w:szCs w:val="21"/>
          <w:lang w:eastAsia="zh-CN"/>
        </w:rPr>
      </w:pPr>
    </w:p>
    <w:p w14:paraId="48B152ED" w14:textId="77777777" w:rsidR="009E5C31" w:rsidRPr="009E5C31" w:rsidRDefault="009E5C31" w:rsidP="009E5C31">
      <w:pPr>
        <w:rPr>
          <w:sz w:val="21"/>
          <w:szCs w:val="21"/>
          <w:lang w:eastAsia="zh-CN"/>
        </w:rPr>
      </w:pPr>
    </w:p>
    <w:p w14:paraId="55C72790" w14:textId="29793979" w:rsidR="009E5C31" w:rsidRPr="009E5C31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 xml:space="preserve">I. Enterprise </w:t>
      </w:r>
      <w:r>
        <w:rPr>
          <w:sz w:val="21"/>
          <w:szCs w:val="21"/>
          <w:lang w:eastAsia="zh-CN"/>
        </w:rPr>
        <w:t>R</w:t>
      </w:r>
      <w:r>
        <w:rPr>
          <w:rFonts w:hint="eastAsia"/>
          <w:sz w:val="21"/>
          <w:szCs w:val="21"/>
          <w:lang w:eastAsia="zh-CN"/>
        </w:rPr>
        <w:t>esp</w:t>
      </w:r>
      <w:r>
        <w:rPr>
          <w:sz w:val="21"/>
          <w:szCs w:val="21"/>
          <w:lang w:eastAsia="zh-CN"/>
        </w:rPr>
        <w:t xml:space="preserve">onsibility </w:t>
      </w:r>
      <w:r w:rsidRPr="009E5C31">
        <w:rPr>
          <w:rFonts w:hint="eastAsia"/>
          <w:sz w:val="21"/>
          <w:szCs w:val="21"/>
          <w:lang w:eastAsia="zh-CN"/>
        </w:rPr>
        <w:t>f</w:t>
      </w:r>
      <w:r w:rsidRPr="009E5C31">
        <w:rPr>
          <w:sz w:val="21"/>
          <w:szCs w:val="21"/>
          <w:lang w:eastAsia="zh-CN"/>
        </w:rPr>
        <w:t>or Internal Control</w:t>
      </w:r>
    </w:p>
    <w:p w14:paraId="79DCE63E" w14:textId="5DE8770E" w:rsidR="00282B34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 xml:space="preserve">The responsibility for establishing robust and efficient internal controls, as well as assessing their effectiveness, resides with the Board of Directors of </w:t>
      </w:r>
      <w:r>
        <w:rPr>
          <w:sz w:val="21"/>
          <w:szCs w:val="21"/>
          <w:lang w:eastAsia="zh-CN"/>
        </w:rPr>
        <w:t xml:space="preserve">the </w:t>
      </w:r>
      <w:r w:rsidRPr="009E5C31">
        <w:rPr>
          <w:sz w:val="21"/>
          <w:szCs w:val="21"/>
          <w:lang w:eastAsia="zh-CN"/>
        </w:rPr>
        <w:t>Bank. This obligation is guided by the provisions stipulated in the Fundamental Standard for Enterprise Internal Control, Directives for the Implementation of Enterprise Internal Control,</w:t>
      </w:r>
      <w:r>
        <w:rPr>
          <w:sz w:val="21"/>
          <w:szCs w:val="21"/>
          <w:lang w:eastAsia="zh-CN"/>
        </w:rPr>
        <w:t xml:space="preserve"> </w:t>
      </w:r>
      <w:r w:rsidRPr="009E5C31">
        <w:rPr>
          <w:sz w:val="21"/>
          <w:szCs w:val="21"/>
          <w:lang w:eastAsia="zh-CN"/>
        </w:rPr>
        <w:t>and Guidelines for the Assessment of Enterprise Internal Control.</w:t>
      </w:r>
    </w:p>
    <w:p w14:paraId="1D0E8A2E" w14:textId="77777777" w:rsidR="009E5C31" w:rsidRDefault="009E5C31" w:rsidP="009E5C31">
      <w:pPr>
        <w:rPr>
          <w:sz w:val="21"/>
          <w:szCs w:val="21"/>
          <w:lang w:eastAsia="zh-CN"/>
        </w:rPr>
      </w:pPr>
    </w:p>
    <w:p w14:paraId="7F0666FA" w14:textId="77777777" w:rsidR="009E5C31" w:rsidRPr="009E5C31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>II. Duties of Certified Public Accountants</w:t>
      </w:r>
    </w:p>
    <w:p w14:paraId="33A971C5" w14:textId="69C0D54F" w:rsidR="009E5C31" w:rsidRPr="009E5C31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 xml:space="preserve">Our duty entails delivering an audit opinion regarding the effectiveness of internal control over financial reporting and disclosing </w:t>
      </w:r>
      <w:r>
        <w:rPr>
          <w:sz w:val="21"/>
          <w:szCs w:val="21"/>
          <w:lang w:eastAsia="zh-CN"/>
        </w:rPr>
        <w:t xml:space="preserve">significant deficiencies </w:t>
      </w:r>
      <w:r w:rsidRPr="009E5C31">
        <w:rPr>
          <w:sz w:val="21"/>
          <w:szCs w:val="21"/>
          <w:lang w:eastAsia="zh-CN"/>
        </w:rPr>
        <w:t>in internal control concerning non-financial reporting</w:t>
      </w:r>
      <w:r>
        <w:rPr>
          <w:sz w:val="21"/>
          <w:szCs w:val="21"/>
          <w:lang w:eastAsia="zh-CN"/>
        </w:rPr>
        <w:t xml:space="preserve">, </w:t>
      </w:r>
      <w:r w:rsidRPr="009E5C31">
        <w:rPr>
          <w:sz w:val="21"/>
          <w:szCs w:val="21"/>
          <w:lang w:eastAsia="zh-CN"/>
        </w:rPr>
        <w:t>grounded in the execution of our audit procedures.</w:t>
      </w:r>
    </w:p>
    <w:p w14:paraId="067E55A2" w14:textId="77777777" w:rsidR="009E5C31" w:rsidRPr="009E5C31" w:rsidRDefault="009E5C31" w:rsidP="009E5C31">
      <w:pPr>
        <w:rPr>
          <w:sz w:val="21"/>
          <w:szCs w:val="21"/>
          <w:lang w:eastAsia="zh-CN"/>
        </w:rPr>
      </w:pPr>
    </w:p>
    <w:p w14:paraId="37A7CAC5" w14:textId="77777777" w:rsidR="009E5C31" w:rsidRPr="009E5C31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>III. Inherent Constraints of Internal Control</w:t>
      </w:r>
    </w:p>
    <w:p w14:paraId="0A207A18" w14:textId="77777777" w:rsidR="009E5C31" w:rsidRPr="009E5C31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>Because of its inherent limitations, internal control over financial reporting may not</w:t>
      </w:r>
    </w:p>
    <w:p w14:paraId="1AF894AE" w14:textId="77777777" w:rsidR="009E5C31" w:rsidRPr="009E5C31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>prevent or detect misstatements. Also, projections of any evaluation of effectiveness to</w:t>
      </w:r>
    </w:p>
    <w:p w14:paraId="4D6CA643" w14:textId="77777777" w:rsidR="009E5C31" w:rsidRPr="009E5C31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>future periods are subject to the risk that controls may become inadequate because of</w:t>
      </w:r>
    </w:p>
    <w:p w14:paraId="5C332404" w14:textId="77777777" w:rsidR="009E5C31" w:rsidRPr="009E5C31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>changes in conditions, or that the degree of compliance with the policies or procedures</w:t>
      </w:r>
    </w:p>
    <w:p w14:paraId="4630E1E8" w14:textId="30F998D4" w:rsidR="009E5C31" w:rsidRDefault="009E5C31" w:rsidP="009E5C31">
      <w:pPr>
        <w:rPr>
          <w:sz w:val="21"/>
          <w:szCs w:val="21"/>
          <w:lang w:eastAsia="zh-CN"/>
        </w:rPr>
      </w:pPr>
      <w:r w:rsidRPr="009E5C31">
        <w:rPr>
          <w:sz w:val="21"/>
          <w:szCs w:val="21"/>
          <w:lang w:eastAsia="zh-CN"/>
        </w:rPr>
        <w:t>may deteriorate.</w:t>
      </w:r>
    </w:p>
    <w:p w14:paraId="27B524E4" w14:textId="77777777" w:rsidR="00BA5FC1" w:rsidRDefault="00BA5FC1" w:rsidP="009E5C31">
      <w:pPr>
        <w:rPr>
          <w:sz w:val="21"/>
          <w:szCs w:val="21"/>
          <w:lang w:eastAsia="zh-CN"/>
        </w:rPr>
      </w:pPr>
    </w:p>
    <w:p w14:paraId="6E28F8FE" w14:textId="781EC85A" w:rsidR="00BA5FC1" w:rsidRPr="00BA5FC1" w:rsidRDefault="00BA5FC1" w:rsidP="00BA5FC1">
      <w:pPr>
        <w:rPr>
          <w:sz w:val="21"/>
          <w:szCs w:val="21"/>
          <w:lang w:eastAsia="zh-CN"/>
        </w:rPr>
      </w:pPr>
      <w:r w:rsidRPr="00BA5FC1">
        <w:rPr>
          <w:sz w:val="21"/>
          <w:szCs w:val="21"/>
          <w:lang w:eastAsia="zh-CN"/>
        </w:rPr>
        <w:t xml:space="preserve">IV. Audit </w:t>
      </w:r>
      <w:r>
        <w:rPr>
          <w:sz w:val="21"/>
          <w:szCs w:val="21"/>
          <w:lang w:eastAsia="zh-CN"/>
        </w:rPr>
        <w:t>O</w:t>
      </w:r>
      <w:r w:rsidRPr="00BA5FC1">
        <w:rPr>
          <w:sz w:val="21"/>
          <w:szCs w:val="21"/>
          <w:lang w:eastAsia="zh-CN"/>
        </w:rPr>
        <w:t xml:space="preserve">pinion on </w:t>
      </w:r>
      <w:r>
        <w:rPr>
          <w:sz w:val="21"/>
          <w:szCs w:val="21"/>
          <w:lang w:eastAsia="zh-CN"/>
        </w:rPr>
        <w:t>I</w:t>
      </w:r>
      <w:r w:rsidRPr="00BA5FC1">
        <w:rPr>
          <w:sz w:val="21"/>
          <w:szCs w:val="21"/>
          <w:lang w:eastAsia="zh-CN"/>
        </w:rPr>
        <w:t xml:space="preserve">nternal </w:t>
      </w:r>
      <w:r>
        <w:rPr>
          <w:sz w:val="21"/>
          <w:szCs w:val="21"/>
          <w:lang w:eastAsia="zh-CN"/>
        </w:rPr>
        <w:t>Co</w:t>
      </w:r>
      <w:r w:rsidRPr="00BA5FC1">
        <w:rPr>
          <w:sz w:val="21"/>
          <w:szCs w:val="21"/>
          <w:lang w:eastAsia="zh-CN"/>
        </w:rPr>
        <w:t xml:space="preserve">ntrol over </w:t>
      </w:r>
      <w:r>
        <w:rPr>
          <w:sz w:val="21"/>
          <w:szCs w:val="21"/>
          <w:lang w:eastAsia="zh-CN"/>
        </w:rPr>
        <w:t>Fi</w:t>
      </w:r>
      <w:r w:rsidRPr="00BA5FC1">
        <w:rPr>
          <w:sz w:val="21"/>
          <w:szCs w:val="21"/>
          <w:lang w:eastAsia="zh-CN"/>
        </w:rPr>
        <w:t xml:space="preserve">nancial </w:t>
      </w:r>
      <w:r>
        <w:rPr>
          <w:sz w:val="21"/>
          <w:szCs w:val="21"/>
          <w:lang w:eastAsia="zh-CN"/>
        </w:rPr>
        <w:t>R</w:t>
      </w:r>
      <w:r w:rsidRPr="00BA5FC1">
        <w:rPr>
          <w:sz w:val="21"/>
          <w:szCs w:val="21"/>
          <w:lang w:eastAsia="zh-CN"/>
        </w:rPr>
        <w:t>eporting</w:t>
      </w:r>
    </w:p>
    <w:p w14:paraId="34E5294D" w14:textId="32AE44C2" w:rsidR="00BA5FC1" w:rsidRDefault="00BA5FC1" w:rsidP="00BA5FC1">
      <w:pPr>
        <w:rPr>
          <w:sz w:val="21"/>
          <w:szCs w:val="21"/>
          <w:lang w:eastAsia="zh-CN"/>
        </w:rPr>
      </w:pPr>
      <w:r w:rsidRPr="00BA5FC1">
        <w:rPr>
          <w:sz w:val="21"/>
          <w:szCs w:val="21"/>
          <w:lang w:eastAsia="zh-CN"/>
        </w:rPr>
        <w:t xml:space="preserve">In our opinion, </w:t>
      </w:r>
      <w:r>
        <w:rPr>
          <w:sz w:val="21"/>
          <w:szCs w:val="21"/>
          <w:lang w:eastAsia="zh-CN"/>
        </w:rPr>
        <w:t xml:space="preserve">the </w:t>
      </w:r>
      <w:r w:rsidRPr="00BA5FC1">
        <w:rPr>
          <w:sz w:val="21"/>
          <w:szCs w:val="21"/>
          <w:lang w:eastAsia="zh-CN"/>
        </w:rPr>
        <w:t xml:space="preserve">Bank maintained, in all material respects, effective internal control over financial reporting as of December 31, 2022, in accordance with the "Basic Standard for </w:t>
      </w:r>
      <w:r w:rsidRPr="00BA5FC1">
        <w:rPr>
          <w:sz w:val="21"/>
          <w:szCs w:val="21"/>
          <w:lang w:eastAsia="zh-CN"/>
        </w:rPr>
        <w:lastRenderedPageBreak/>
        <w:t>Enterprise Internal Control" and related regulations.</w:t>
      </w:r>
    </w:p>
    <w:p w14:paraId="59347EC8" w14:textId="77777777" w:rsidR="00BA5FC1" w:rsidRDefault="00BA5FC1" w:rsidP="00BA5FC1">
      <w:pPr>
        <w:rPr>
          <w:sz w:val="21"/>
          <w:szCs w:val="21"/>
          <w:lang w:eastAsia="zh-CN"/>
        </w:rPr>
      </w:pPr>
    </w:p>
    <w:p w14:paraId="220B9254" w14:textId="77777777" w:rsidR="00BA5FC1" w:rsidRDefault="00BA5FC1" w:rsidP="00BA5FC1">
      <w:pPr>
        <w:rPr>
          <w:sz w:val="21"/>
          <w:szCs w:val="21"/>
          <w:lang w:eastAsia="zh-CN"/>
        </w:rPr>
      </w:pPr>
    </w:p>
    <w:p w14:paraId="4188F437" w14:textId="3750C6A3" w:rsidR="00BA5FC1" w:rsidRPr="009E5C31" w:rsidRDefault="00BA5FC1" w:rsidP="00BA5FC1">
      <w:pPr>
        <w:rPr>
          <w:sz w:val="21"/>
          <w:szCs w:val="21"/>
          <w:lang w:eastAsia="zh-CN"/>
        </w:rPr>
      </w:pPr>
      <w:r w:rsidRPr="00BA5FC1">
        <w:rPr>
          <w:sz w:val="21"/>
          <w:szCs w:val="21"/>
          <w:lang w:eastAsia="zh-CN"/>
        </w:rPr>
        <w:t xml:space="preserve">KPMG </w:t>
      </w:r>
      <w:proofErr w:type="spellStart"/>
      <w:proofErr w:type="gramStart"/>
      <w:r w:rsidRPr="00BA5FC1">
        <w:rPr>
          <w:sz w:val="21"/>
          <w:szCs w:val="21"/>
          <w:lang w:eastAsia="zh-CN"/>
        </w:rPr>
        <w:t>Hua</w:t>
      </w:r>
      <w:r>
        <w:rPr>
          <w:sz w:val="21"/>
          <w:szCs w:val="21"/>
          <w:lang w:eastAsia="zh-CN"/>
        </w:rPr>
        <w:t>zhen</w:t>
      </w:r>
      <w:proofErr w:type="spellEnd"/>
      <w:r w:rsidRPr="00BA5FC1">
        <w:rPr>
          <w:sz w:val="21"/>
          <w:szCs w:val="21"/>
          <w:lang w:eastAsia="zh-CN"/>
        </w:rPr>
        <w:t>(</w:t>
      </w:r>
      <w:proofErr w:type="gramEnd"/>
      <w:r w:rsidRPr="00BA5FC1">
        <w:rPr>
          <w:sz w:val="21"/>
          <w:szCs w:val="21"/>
          <w:lang w:eastAsia="zh-CN"/>
        </w:rPr>
        <w:t>Special General Partnership)</w:t>
      </w:r>
      <w:r>
        <w:rPr>
          <w:sz w:val="21"/>
          <w:szCs w:val="21"/>
          <w:lang w:eastAsia="zh-CN"/>
        </w:rPr>
        <w:t xml:space="preserve">         </w:t>
      </w:r>
      <w:r w:rsidRPr="00BA5FC1">
        <w:rPr>
          <w:sz w:val="21"/>
          <w:szCs w:val="21"/>
          <w:lang w:eastAsia="zh-CN"/>
        </w:rPr>
        <w:t>C</w:t>
      </w:r>
      <w:r w:rsidR="00B44D44">
        <w:rPr>
          <w:rFonts w:hint="eastAsia"/>
          <w:sz w:val="21"/>
          <w:szCs w:val="21"/>
          <w:lang w:eastAsia="zh-CN"/>
        </w:rPr>
        <w:t>hi</w:t>
      </w:r>
      <w:r w:rsidR="00B44D44">
        <w:rPr>
          <w:sz w:val="21"/>
          <w:szCs w:val="21"/>
          <w:lang w:eastAsia="zh-CN"/>
        </w:rPr>
        <w:t>na Ce</w:t>
      </w:r>
      <w:r w:rsidRPr="00BA5FC1">
        <w:rPr>
          <w:sz w:val="21"/>
          <w:szCs w:val="21"/>
          <w:lang w:eastAsia="zh-CN"/>
        </w:rPr>
        <w:t>rtified Public Accountants</w:t>
      </w:r>
    </w:p>
    <w:p w14:paraId="566E4092" w14:textId="157553F5" w:rsidR="00BA5FC1" w:rsidRDefault="00BA5FC1" w:rsidP="00BA5FC1">
      <w:pPr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 xml:space="preserve">                                                              Chen Sijie</w:t>
      </w:r>
    </w:p>
    <w:p w14:paraId="36172EA6" w14:textId="3C2E172A" w:rsidR="00BA5FC1" w:rsidRDefault="00BA5FC1" w:rsidP="00BA5FC1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sz w:val="21"/>
          <w:szCs w:val="21"/>
          <w:lang w:eastAsia="zh-CN"/>
        </w:rPr>
        <w:t xml:space="preserve">                                                             Wu Zhongming</w:t>
      </w:r>
    </w:p>
    <w:p w14:paraId="3A2F3F6D" w14:textId="243F16BF" w:rsidR="00BA5FC1" w:rsidRDefault="00BA5FC1" w:rsidP="00BA5FC1">
      <w:pPr>
        <w:rPr>
          <w:sz w:val="21"/>
          <w:szCs w:val="21"/>
          <w:lang w:eastAsia="zh-CN"/>
        </w:rPr>
      </w:pPr>
      <w:r>
        <w:rPr>
          <w:sz w:val="21"/>
          <w:szCs w:val="21"/>
          <w:lang w:eastAsia="zh-CN"/>
        </w:rPr>
        <w:t>Beijing, China</w:t>
      </w:r>
    </w:p>
    <w:p w14:paraId="0FC6AD14" w14:textId="71D61FEF" w:rsidR="00BA5FC1" w:rsidRPr="00BA5FC1" w:rsidRDefault="00BA5FC1" w:rsidP="00BA5FC1">
      <w:pPr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M</w:t>
      </w:r>
      <w:r>
        <w:rPr>
          <w:sz w:val="21"/>
          <w:szCs w:val="21"/>
          <w:lang w:eastAsia="zh-CN"/>
        </w:rPr>
        <w:t>arch 30, 2023</w:t>
      </w:r>
    </w:p>
    <w:p w14:paraId="0A6F5BFE" w14:textId="77777777" w:rsidR="009E5C31" w:rsidRPr="009E5C31" w:rsidRDefault="009E5C31" w:rsidP="009E5C31">
      <w:pPr>
        <w:rPr>
          <w:sz w:val="21"/>
          <w:szCs w:val="21"/>
          <w:lang w:eastAsia="zh-CN"/>
        </w:rPr>
      </w:pPr>
    </w:p>
    <w:p w14:paraId="6D28E76D" w14:textId="77777777" w:rsidR="009E5C31" w:rsidRPr="009E5C31" w:rsidRDefault="009E5C31" w:rsidP="009E5C31">
      <w:pPr>
        <w:rPr>
          <w:sz w:val="21"/>
          <w:szCs w:val="21"/>
          <w:lang w:eastAsia="zh-CN"/>
        </w:rPr>
      </w:pPr>
    </w:p>
    <w:p w14:paraId="55433DBA" w14:textId="77777777" w:rsidR="009E5C31" w:rsidRPr="009E5C31" w:rsidRDefault="009E5C31" w:rsidP="009E5C31">
      <w:pPr>
        <w:rPr>
          <w:sz w:val="21"/>
          <w:szCs w:val="21"/>
          <w:lang w:eastAsia="zh-CN"/>
        </w:rPr>
      </w:pPr>
    </w:p>
    <w:p w14:paraId="0FA3EF73" w14:textId="77777777" w:rsidR="009E5C31" w:rsidRPr="009E5C31" w:rsidRDefault="009E5C31" w:rsidP="009E5C31">
      <w:pPr>
        <w:rPr>
          <w:sz w:val="21"/>
          <w:szCs w:val="21"/>
          <w:lang w:eastAsia="zh-CN"/>
        </w:rPr>
      </w:pPr>
    </w:p>
    <w:p w14:paraId="5F9AEC3E" w14:textId="77777777" w:rsidR="009E5C31" w:rsidRPr="009E5C31" w:rsidRDefault="009E5C31" w:rsidP="009E5C31">
      <w:pPr>
        <w:rPr>
          <w:sz w:val="21"/>
          <w:szCs w:val="21"/>
          <w:lang w:eastAsia="zh-CN"/>
        </w:rPr>
      </w:pPr>
    </w:p>
    <w:p w14:paraId="3D5EC51C" w14:textId="77777777" w:rsidR="00282B34" w:rsidRPr="00282B34" w:rsidRDefault="00282B34" w:rsidP="00282B34">
      <w:pPr>
        <w:rPr>
          <w:sz w:val="21"/>
          <w:szCs w:val="21"/>
          <w:lang w:eastAsia="zh-CN"/>
        </w:rPr>
      </w:pPr>
    </w:p>
    <w:sectPr w:rsidR="00282B34" w:rsidRPr="0028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34"/>
    <w:rsid w:val="000B183C"/>
    <w:rsid w:val="00282B34"/>
    <w:rsid w:val="00402130"/>
    <w:rsid w:val="00497B10"/>
    <w:rsid w:val="007304E1"/>
    <w:rsid w:val="009E0BBC"/>
    <w:rsid w:val="009E5C31"/>
    <w:rsid w:val="00B44D44"/>
    <w:rsid w:val="00B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AF683"/>
  <w15:chartTrackingRefBased/>
  <w15:docId w15:val="{A31C5799-8C76-2745-A8DF-F4059E41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B34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婉艳 崔</dc:creator>
  <cp:keywords/>
  <dc:description/>
  <cp:lastModifiedBy>婉艳 崔</cp:lastModifiedBy>
  <cp:revision>9</cp:revision>
  <dcterms:created xsi:type="dcterms:W3CDTF">2023-08-02T12:39:00Z</dcterms:created>
  <dcterms:modified xsi:type="dcterms:W3CDTF">2023-08-03T06:21:00Z</dcterms:modified>
</cp:coreProperties>
</file>