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DACE" w14:textId="48EDC9A5" w:rsidR="002A65F8" w:rsidRPr="00433412" w:rsidRDefault="002A65F8">
      <w:pPr>
        <w:widowControl/>
        <w:spacing w:line="500" w:lineRule="exact"/>
        <w:jc w:val="center"/>
        <w:rPr>
          <w:rFonts w:eastAsia="黑体"/>
          <w:b/>
          <w:bCs/>
          <w:sz w:val="32"/>
          <w:szCs w:val="32"/>
        </w:rPr>
      </w:pPr>
      <w:r w:rsidRPr="00433412">
        <w:rPr>
          <w:rFonts w:eastAsia="黑体"/>
          <w:b/>
          <w:bCs/>
          <w:sz w:val="32"/>
          <w:szCs w:val="32"/>
        </w:rPr>
        <w:t>Industrial Bank Co., Ltd.</w:t>
      </w:r>
    </w:p>
    <w:p w14:paraId="0D2EBF5F" w14:textId="16750367" w:rsidR="00E55AFB" w:rsidRPr="00433412" w:rsidRDefault="002A65F8" w:rsidP="002A65F8">
      <w:pPr>
        <w:pStyle w:val="1"/>
        <w:spacing w:before="0" w:after="0" w:line="500" w:lineRule="exact"/>
        <w:ind w:left="0" w:firstLine="0"/>
        <w:rPr>
          <w:rFonts w:ascii="Times New Roman"/>
          <w:b/>
          <w:bCs/>
          <w:szCs w:val="32"/>
        </w:rPr>
      </w:pPr>
      <w:r w:rsidRPr="00433412">
        <w:rPr>
          <w:rFonts w:ascii="Times New Roman"/>
          <w:b/>
          <w:bCs/>
          <w:szCs w:val="32"/>
        </w:rPr>
        <w:t>Report on the Performance of Duties by the Audit and Related Transactions Control Committee of the Board of Directors in 2021</w:t>
      </w:r>
    </w:p>
    <w:p w14:paraId="557063B2" w14:textId="77777777" w:rsidR="00E55AFB" w:rsidRPr="00433412" w:rsidRDefault="00E55AFB">
      <w:pPr>
        <w:spacing w:line="520" w:lineRule="exact"/>
        <w:jc w:val="center"/>
        <w:rPr>
          <w:rFonts w:eastAsia="仿宋_GB2312"/>
          <w:sz w:val="30"/>
          <w:szCs w:val="30"/>
        </w:rPr>
      </w:pPr>
    </w:p>
    <w:p w14:paraId="367BE421" w14:textId="25A1DC59" w:rsidR="009251FF" w:rsidRPr="00871921" w:rsidRDefault="009251FF" w:rsidP="00871921">
      <w:pPr>
        <w:pStyle w:val="a7"/>
        <w:adjustRightInd w:val="0"/>
        <w:snapToGrid w:val="0"/>
        <w:spacing w:line="520" w:lineRule="exact"/>
        <w:ind w:firstLineChars="200" w:firstLine="560"/>
        <w:rPr>
          <w:rFonts w:ascii="Times New Roman" w:hAnsi="Times New Roman" w:cs="Times New Roman"/>
          <w:sz w:val="28"/>
          <w:szCs w:val="28"/>
        </w:rPr>
      </w:pPr>
      <w:r w:rsidRPr="00871921">
        <w:rPr>
          <w:rFonts w:ascii="Times New Roman" w:hAnsi="Times New Roman" w:cs="Times New Roman"/>
          <w:sz w:val="28"/>
          <w:szCs w:val="28"/>
        </w:rPr>
        <w:t>In 2021, the Board of Directors successfully completed the change of term, and the Audit and Related Transactions Control Committee of the new Board of Directors (“Committee”) consists of five directors, including three independent directors (one of whom is a female director), an executive director and a non-executive director. More than half of the directors have a financial background. Some of them are experts in green finance and technology finance</w:t>
      </w:r>
      <w:r w:rsidR="00DA067F">
        <w:rPr>
          <w:rFonts w:ascii="Times New Roman" w:hAnsi="Times New Roman" w:cs="Times New Roman"/>
          <w:sz w:val="28"/>
          <w:szCs w:val="28"/>
        </w:rPr>
        <w:t>,</w:t>
      </w:r>
      <w:r w:rsidRPr="00871921">
        <w:rPr>
          <w:rFonts w:ascii="Times New Roman" w:hAnsi="Times New Roman" w:cs="Times New Roman"/>
          <w:sz w:val="28"/>
          <w:szCs w:val="28"/>
        </w:rPr>
        <w:t xml:space="preserve"> and</w:t>
      </w:r>
      <w:r w:rsidR="00DA067F">
        <w:rPr>
          <w:rFonts w:ascii="Times New Roman" w:hAnsi="Times New Roman" w:cs="Times New Roman"/>
          <w:sz w:val="28"/>
          <w:szCs w:val="28"/>
        </w:rPr>
        <w:t xml:space="preserve"> have</w:t>
      </w:r>
      <w:r w:rsidRPr="00871921">
        <w:rPr>
          <w:rFonts w:ascii="Times New Roman" w:hAnsi="Times New Roman" w:cs="Times New Roman"/>
          <w:sz w:val="28"/>
          <w:szCs w:val="28"/>
        </w:rPr>
        <w:t xml:space="preserve"> served as senior managers at relevant entities. Their credentials and experience </w:t>
      </w:r>
      <w:r w:rsidR="00DA067F">
        <w:rPr>
          <w:rFonts w:ascii="Times New Roman" w:hAnsi="Times New Roman" w:cs="Times New Roman"/>
          <w:sz w:val="28"/>
          <w:szCs w:val="28"/>
        </w:rPr>
        <w:t>offer</w:t>
      </w:r>
      <w:r w:rsidRPr="00871921">
        <w:rPr>
          <w:rFonts w:ascii="Times New Roman" w:hAnsi="Times New Roman" w:cs="Times New Roman"/>
          <w:sz w:val="28"/>
          <w:szCs w:val="28"/>
        </w:rPr>
        <w:t xml:space="preserve"> a</w:t>
      </w:r>
      <w:r w:rsidR="00DA067F">
        <w:rPr>
          <w:rFonts w:ascii="Times New Roman" w:hAnsi="Times New Roman" w:cs="Times New Roman"/>
          <w:sz w:val="28"/>
          <w:szCs w:val="28"/>
        </w:rPr>
        <w:t xml:space="preserve"> key </w:t>
      </w:r>
      <w:r w:rsidRPr="00871921">
        <w:rPr>
          <w:rFonts w:ascii="Times New Roman" w:hAnsi="Times New Roman" w:cs="Times New Roman"/>
          <w:sz w:val="28"/>
          <w:szCs w:val="28"/>
        </w:rPr>
        <w:t>assurance for the independence of the Committee and its effective performance of duties. In accordance with relevant regulatory rules, the Bank</w:t>
      </w:r>
      <w:r w:rsidR="002A1DE2">
        <w:rPr>
          <w:rFonts w:ascii="Times New Roman" w:hAnsi="Times New Roman" w:cs="Times New Roman"/>
          <w:sz w:val="28"/>
          <w:szCs w:val="28"/>
        </w:rPr>
        <w:t>’</w:t>
      </w:r>
      <w:r w:rsidRPr="00871921">
        <w:rPr>
          <w:rFonts w:ascii="Times New Roman" w:hAnsi="Times New Roman" w:cs="Times New Roman"/>
          <w:sz w:val="28"/>
          <w:szCs w:val="28"/>
        </w:rPr>
        <w:t xml:space="preserve">s </w:t>
      </w:r>
      <w:r w:rsidRPr="002A1DE2">
        <w:rPr>
          <w:rFonts w:ascii="Times New Roman" w:hAnsi="Times New Roman" w:cs="Times New Roman"/>
          <w:i/>
          <w:iCs/>
          <w:sz w:val="28"/>
          <w:szCs w:val="28"/>
        </w:rPr>
        <w:t>Constitution</w:t>
      </w:r>
      <w:r w:rsidRPr="00871921">
        <w:rPr>
          <w:rFonts w:ascii="Times New Roman" w:hAnsi="Times New Roman" w:cs="Times New Roman"/>
          <w:sz w:val="28"/>
          <w:szCs w:val="28"/>
        </w:rPr>
        <w:t>, and the Committee</w:t>
      </w:r>
      <w:r w:rsidR="002A1DE2">
        <w:rPr>
          <w:rFonts w:ascii="Times New Roman" w:hAnsi="Times New Roman" w:cs="Times New Roman"/>
          <w:sz w:val="28"/>
          <w:szCs w:val="28"/>
        </w:rPr>
        <w:t>’</w:t>
      </w:r>
      <w:r w:rsidRPr="00871921">
        <w:rPr>
          <w:rFonts w:ascii="Times New Roman" w:hAnsi="Times New Roman" w:cs="Times New Roman"/>
          <w:sz w:val="28"/>
          <w:szCs w:val="28"/>
        </w:rPr>
        <w:t xml:space="preserve">s work rules, the Audit and Related Transactions Control Committee of the Board of Directors has independently performed its duties and assisted the Board of Directors in making science-based decisions. Throughout the year, the Committee has </w:t>
      </w:r>
      <w:r w:rsidR="00A61596">
        <w:rPr>
          <w:rFonts w:ascii="Times New Roman" w:hAnsi="Times New Roman" w:cs="Times New Roman"/>
          <w:sz w:val="28"/>
          <w:szCs w:val="28"/>
        </w:rPr>
        <w:t>convened</w:t>
      </w:r>
      <w:r w:rsidRPr="00871921">
        <w:rPr>
          <w:rFonts w:ascii="Times New Roman" w:hAnsi="Times New Roman" w:cs="Times New Roman"/>
          <w:sz w:val="28"/>
          <w:szCs w:val="28"/>
        </w:rPr>
        <w:t xml:space="preserve"> six meetings and </w:t>
      </w:r>
      <w:r w:rsidR="00527AC2">
        <w:rPr>
          <w:rFonts w:ascii="Times New Roman" w:hAnsi="Times New Roman" w:cs="Times New Roman"/>
          <w:sz w:val="28"/>
          <w:szCs w:val="28"/>
        </w:rPr>
        <w:t>deliberated</w:t>
      </w:r>
      <w:r w:rsidRPr="00871921">
        <w:rPr>
          <w:rFonts w:ascii="Times New Roman" w:hAnsi="Times New Roman" w:cs="Times New Roman"/>
          <w:sz w:val="28"/>
          <w:szCs w:val="28"/>
        </w:rPr>
        <w:t xml:space="preserve"> 28 topics of discussion.</w:t>
      </w:r>
    </w:p>
    <w:p w14:paraId="2150EB50" w14:textId="6628ECAF" w:rsidR="009251FF" w:rsidRPr="00527AC2" w:rsidRDefault="009251FF" w:rsidP="00527AC2">
      <w:pPr>
        <w:pStyle w:val="a7"/>
        <w:adjustRightInd w:val="0"/>
        <w:snapToGrid w:val="0"/>
        <w:spacing w:line="560" w:lineRule="exact"/>
        <w:ind w:firstLineChars="200" w:firstLine="560"/>
        <w:rPr>
          <w:rFonts w:ascii="Times New Roman" w:hAnsi="Times New Roman" w:cs="Times New Roman"/>
          <w:bCs/>
          <w:sz w:val="28"/>
          <w:szCs w:val="28"/>
        </w:rPr>
      </w:pPr>
      <w:r w:rsidRPr="00527AC2">
        <w:rPr>
          <w:rFonts w:ascii="Times New Roman" w:hAnsi="Times New Roman" w:cs="Times New Roman"/>
          <w:b/>
          <w:sz w:val="28"/>
          <w:szCs w:val="28"/>
        </w:rPr>
        <w:t xml:space="preserve">I. Guiding the accounting firm to complete audit and review work. </w:t>
      </w:r>
      <w:r w:rsidRPr="00527AC2">
        <w:rPr>
          <w:rFonts w:ascii="Times New Roman" w:hAnsi="Times New Roman" w:cs="Times New Roman"/>
          <w:bCs/>
          <w:sz w:val="28"/>
          <w:szCs w:val="28"/>
        </w:rPr>
        <w:t xml:space="preserve">The Committee has proactively increased communication and interactions with KPMG </w:t>
      </w:r>
      <w:proofErr w:type="spellStart"/>
      <w:r w:rsidRPr="00527AC2">
        <w:rPr>
          <w:rFonts w:ascii="Times New Roman" w:hAnsi="Times New Roman" w:cs="Times New Roman"/>
          <w:bCs/>
          <w:sz w:val="28"/>
          <w:szCs w:val="28"/>
        </w:rPr>
        <w:t>Huazhen</w:t>
      </w:r>
      <w:proofErr w:type="spellEnd"/>
      <w:r w:rsidRPr="00527AC2">
        <w:rPr>
          <w:rFonts w:ascii="Times New Roman" w:hAnsi="Times New Roman" w:cs="Times New Roman"/>
          <w:bCs/>
          <w:sz w:val="28"/>
          <w:szCs w:val="28"/>
        </w:rPr>
        <w:t xml:space="preserve"> accounting firm, deliberated and finalized the accounting firm</w:t>
      </w:r>
      <w:r w:rsidR="002A1DE2" w:rsidRPr="00527AC2">
        <w:rPr>
          <w:rFonts w:ascii="Times New Roman" w:hAnsi="Times New Roman" w:cs="Times New Roman"/>
          <w:bCs/>
          <w:sz w:val="28"/>
          <w:szCs w:val="28"/>
        </w:rPr>
        <w:t>’</w:t>
      </w:r>
      <w:r w:rsidRPr="00527AC2">
        <w:rPr>
          <w:rFonts w:ascii="Times New Roman" w:hAnsi="Times New Roman" w:cs="Times New Roman"/>
          <w:bCs/>
          <w:sz w:val="28"/>
          <w:szCs w:val="28"/>
        </w:rPr>
        <w:t>s audit report for 2020, 2021 semi-annual report, and 2021 financial audit and internal audit plan in accordance with the Bank</w:t>
      </w:r>
      <w:r w:rsidR="002A1DE2" w:rsidRPr="00527AC2">
        <w:rPr>
          <w:rFonts w:ascii="Times New Roman" w:hAnsi="Times New Roman" w:cs="Times New Roman"/>
          <w:bCs/>
          <w:sz w:val="28"/>
          <w:szCs w:val="28"/>
        </w:rPr>
        <w:t>’</w:t>
      </w:r>
      <w:r w:rsidRPr="00527AC2">
        <w:rPr>
          <w:rFonts w:ascii="Times New Roman" w:hAnsi="Times New Roman" w:cs="Times New Roman"/>
          <w:bCs/>
          <w:sz w:val="28"/>
          <w:szCs w:val="28"/>
        </w:rPr>
        <w:t xml:space="preserve">s development strategy. The Committee requested the accounting firm to </w:t>
      </w:r>
      <w:r w:rsidRPr="00527AC2">
        <w:rPr>
          <w:rFonts w:ascii="Times New Roman" w:hAnsi="Times New Roman" w:cs="Times New Roman"/>
          <w:bCs/>
          <w:sz w:val="28"/>
          <w:szCs w:val="28"/>
        </w:rPr>
        <w:lastRenderedPageBreak/>
        <w:t xml:space="preserve">complete statutory audit services with high quality, and bring into full play its role as a third-party intermediary institution, promptly remind the Bank to follow major risk points and important risk matters, and report the same to the Committee immediately. The Committee has provided the Bank and its subsidiaries with professional </w:t>
      </w:r>
      <w:r w:rsidR="00F04312">
        <w:rPr>
          <w:rFonts w:ascii="Times New Roman" w:hAnsi="Times New Roman" w:cs="Times New Roman"/>
          <w:bCs/>
          <w:sz w:val="28"/>
          <w:szCs w:val="28"/>
        </w:rPr>
        <w:t>advice</w:t>
      </w:r>
      <w:r w:rsidRPr="00527AC2">
        <w:rPr>
          <w:rFonts w:ascii="Times New Roman" w:hAnsi="Times New Roman" w:cs="Times New Roman"/>
          <w:bCs/>
          <w:sz w:val="28"/>
          <w:szCs w:val="28"/>
        </w:rPr>
        <w:t xml:space="preserve"> on improvement of management practices for the development of the corporate conglomerate.</w:t>
      </w:r>
    </w:p>
    <w:p w14:paraId="7648B40F" w14:textId="0B3EB021" w:rsidR="009251FF" w:rsidRPr="005C7734" w:rsidRDefault="009251FF" w:rsidP="00EC250B">
      <w:pPr>
        <w:pStyle w:val="a7"/>
        <w:adjustRightInd w:val="0"/>
        <w:snapToGrid w:val="0"/>
        <w:spacing w:line="560" w:lineRule="exact"/>
        <w:ind w:firstLineChars="200" w:firstLine="560"/>
        <w:rPr>
          <w:rFonts w:ascii="Times New Roman" w:hAnsi="Times New Roman" w:cs="Times New Roman"/>
          <w:bCs/>
          <w:sz w:val="28"/>
          <w:szCs w:val="28"/>
        </w:rPr>
      </w:pPr>
      <w:r w:rsidRPr="005C7734">
        <w:rPr>
          <w:rFonts w:ascii="Times New Roman" w:hAnsi="Times New Roman" w:cs="Times New Roman"/>
          <w:b/>
          <w:sz w:val="28"/>
          <w:szCs w:val="28"/>
        </w:rPr>
        <w:t>II. Deliberating regular reports and financial budget plans in advance.</w:t>
      </w:r>
      <w:r w:rsidRPr="005C7734">
        <w:rPr>
          <w:rFonts w:ascii="Times New Roman" w:hAnsi="Times New Roman" w:cs="Times New Roman"/>
          <w:bCs/>
          <w:sz w:val="28"/>
          <w:szCs w:val="28"/>
        </w:rPr>
        <w:t xml:space="preserve"> Before the meetings of the Board of Directors, </w:t>
      </w:r>
      <w:r w:rsidR="00302AC9">
        <w:rPr>
          <w:rFonts w:ascii="Times New Roman" w:hAnsi="Times New Roman" w:cs="Times New Roman"/>
          <w:bCs/>
          <w:sz w:val="28"/>
          <w:szCs w:val="28"/>
        </w:rPr>
        <w:t xml:space="preserve">the </w:t>
      </w:r>
      <w:r w:rsidRPr="005C7734">
        <w:rPr>
          <w:rFonts w:ascii="Times New Roman" w:hAnsi="Times New Roman" w:cs="Times New Roman"/>
          <w:bCs/>
          <w:sz w:val="28"/>
          <w:szCs w:val="28"/>
        </w:rPr>
        <w:t xml:space="preserve">Committee has carefully deliberated four regular reports and the 2021 financial budget plan and fully recognized the business performance of the Bank, believing that the Bank has maintained robust business performance and </w:t>
      </w:r>
      <w:r w:rsidR="003A02A6">
        <w:rPr>
          <w:rFonts w:ascii="Times New Roman" w:hAnsi="Times New Roman" w:cs="Times New Roman"/>
          <w:bCs/>
          <w:sz w:val="28"/>
          <w:szCs w:val="28"/>
        </w:rPr>
        <w:t xml:space="preserve">a strong </w:t>
      </w:r>
      <w:r w:rsidRPr="005C7734">
        <w:rPr>
          <w:rFonts w:ascii="Times New Roman" w:hAnsi="Times New Roman" w:cs="Times New Roman"/>
          <w:bCs/>
          <w:sz w:val="28"/>
          <w:szCs w:val="28"/>
        </w:rPr>
        <w:t xml:space="preserve">market position. The Committee has requested the management to keep following the </w:t>
      </w:r>
      <w:r w:rsidR="00023959">
        <w:rPr>
          <w:rFonts w:ascii="Times New Roman" w:hAnsi="Times New Roman" w:cs="Times New Roman"/>
          <w:bCs/>
          <w:sz w:val="28"/>
          <w:szCs w:val="28"/>
        </w:rPr>
        <w:t>default</w:t>
      </w:r>
      <w:r w:rsidRPr="005C7734">
        <w:rPr>
          <w:rFonts w:ascii="Times New Roman" w:hAnsi="Times New Roman" w:cs="Times New Roman"/>
          <w:bCs/>
          <w:sz w:val="28"/>
          <w:szCs w:val="28"/>
        </w:rPr>
        <w:t xml:space="preserve"> risk of major corporate conglomerates and make </w:t>
      </w:r>
      <w:r w:rsidR="00085844">
        <w:rPr>
          <w:rFonts w:ascii="Times New Roman" w:hAnsi="Times New Roman" w:cs="Times New Roman"/>
          <w:bCs/>
          <w:sz w:val="28"/>
          <w:szCs w:val="28"/>
        </w:rPr>
        <w:t>assessments</w:t>
      </w:r>
      <w:r w:rsidRPr="005C7734">
        <w:rPr>
          <w:rFonts w:ascii="Times New Roman" w:hAnsi="Times New Roman" w:cs="Times New Roman"/>
          <w:bCs/>
          <w:sz w:val="28"/>
          <w:szCs w:val="28"/>
        </w:rPr>
        <w:t>. It has advised the Management to enhance training for the management teams of subsidiaries to improve the overall level of basic management for the corporate conglomerate.</w:t>
      </w:r>
    </w:p>
    <w:p w14:paraId="1FF89D78" w14:textId="018DD5C0" w:rsidR="009251FF" w:rsidRPr="007F38D2" w:rsidRDefault="009251FF" w:rsidP="007F38D2">
      <w:pPr>
        <w:pStyle w:val="a7"/>
        <w:adjustRightInd w:val="0"/>
        <w:snapToGrid w:val="0"/>
        <w:spacing w:line="560" w:lineRule="exact"/>
        <w:ind w:firstLineChars="200" w:firstLine="560"/>
        <w:rPr>
          <w:rFonts w:ascii="Times New Roman" w:hAnsi="Times New Roman" w:cs="Times New Roman"/>
          <w:bCs/>
          <w:sz w:val="28"/>
          <w:szCs w:val="28"/>
        </w:rPr>
      </w:pPr>
      <w:r w:rsidRPr="007F38D2">
        <w:rPr>
          <w:rFonts w:ascii="Times New Roman" w:hAnsi="Times New Roman" w:cs="Times New Roman"/>
          <w:b/>
          <w:sz w:val="28"/>
          <w:szCs w:val="28"/>
        </w:rPr>
        <w:t>III. Enhancing guidance on internal audit and internal control.</w:t>
      </w:r>
      <w:r w:rsidRPr="007F38D2">
        <w:rPr>
          <w:rFonts w:ascii="Times New Roman" w:hAnsi="Times New Roman" w:cs="Times New Roman"/>
          <w:bCs/>
          <w:sz w:val="28"/>
          <w:szCs w:val="28"/>
        </w:rPr>
        <w:t xml:space="preserve"> The Committee has carefully deliberated the internal control evaluation, internal audit project plan, and internal audit work update reports. It has emphasized the great responsibilities of the internal audit department and called for steadily developing team competencies and increasing exchange of management personnel between business lines and internal audit. The Committee has also requested the Bank to conduct risk screening and improve internal control in light of highly publicized incidents in the </w:t>
      </w:r>
      <w:r w:rsidRPr="007F38D2">
        <w:rPr>
          <w:rFonts w:ascii="Times New Roman" w:hAnsi="Times New Roman" w:cs="Times New Roman"/>
          <w:bCs/>
          <w:sz w:val="28"/>
          <w:szCs w:val="28"/>
        </w:rPr>
        <w:lastRenderedPageBreak/>
        <w:t>capital market and the banking sector. The Committee has listened to reports on the rectification in response to the regulatory circulars on the Bank and the rectification of internal audit defects. It has requested the Bank to make the most of the results of external regulatory inspections, properly address problems in its business operations, and steadily improve its compliance and internal control.</w:t>
      </w:r>
    </w:p>
    <w:p w14:paraId="6CD35E54" w14:textId="77777777" w:rsidR="009251FF" w:rsidRPr="006441BE" w:rsidRDefault="009251FF" w:rsidP="00100827">
      <w:pPr>
        <w:autoSpaceDE w:val="0"/>
        <w:autoSpaceDN w:val="0"/>
        <w:adjustRightInd w:val="0"/>
        <w:ind w:firstLineChars="200" w:firstLine="560"/>
        <w:jc w:val="left"/>
        <w:rPr>
          <w:rFonts w:eastAsia="仿宋_GB2312"/>
          <w:b/>
          <w:sz w:val="28"/>
          <w:szCs w:val="28"/>
        </w:rPr>
      </w:pPr>
      <w:r w:rsidRPr="006441BE">
        <w:rPr>
          <w:rFonts w:eastAsia="仿宋_GB2312"/>
          <w:b/>
          <w:sz w:val="28"/>
          <w:szCs w:val="28"/>
        </w:rPr>
        <w:t>IV. Conducting subject-matter surveys at the grassroots level</w:t>
      </w:r>
    </w:p>
    <w:p w14:paraId="331A01D0" w14:textId="0842E7E1" w:rsidR="009251FF" w:rsidRPr="000E6591" w:rsidRDefault="009251FF" w:rsidP="000E6591">
      <w:pPr>
        <w:pStyle w:val="a7"/>
        <w:adjustRightInd w:val="0"/>
        <w:snapToGrid w:val="0"/>
        <w:spacing w:line="560" w:lineRule="exact"/>
        <w:ind w:firstLineChars="200" w:firstLine="560"/>
        <w:rPr>
          <w:rFonts w:ascii="Times New Roman" w:hAnsi="Times New Roman" w:cs="Times New Roman"/>
          <w:bCs/>
          <w:sz w:val="28"/>
          <w:szCs w:val="28"/>
        </w:rPr>
      </w:pPr>
      <w:r w:rsidRPr="000E6591">
        <w:rPr>
          <w:rFonts w:ascii="Times New Roman" w:hAnsi="Times New Roman" w:cs="Times New Roman"/>
          <w:bCs/>
          <w:sz w:val="28"/>
          <w:szCs w:val="28"/>
        </w:rPr>
        <w:t xml:space="preserve">Based on information from internal and external audit and regulatory reporting, the Committee has </w:t>
      </w:r>
      <w:r w:rsidR="00403BC2">
        <w:rPr>
          <w:rFonts w:ascii="Times New Roman" w:hAnsi="Times New Roman" w:cs="Times New Roman" w:hint="eastAsia"/>
          <w:bCs/>
          <w:sz w:val="28"/>
          <w:szCs w:val="28"/>
        </w:rPr>
        <w:t>identified</w:t>
      </w:r>
      <w:r w:rsidR="00403BC2">
        <w:rPr>
          <w:rFonts w:ascii="Times New Roman" w:hAnsi="Times New Roman" w:cs="Times New Roman"/>
          <w:bCs/>
          <w:sz w:val="28"/>
          <w:szCs w:val="28"/>
        </w:rPr>
        <w:t xml:space="preserve"> </w:t>
      </w:r>
      <w:r w:rsidRPr="000E6591">
        <w:rPr>
          <w:rFonts w:ascii="Times New Roman" w:hAnsi="Times New Roman" w:cs="Times New Roman"/>
          <w:bCs/>
          <w:sz w:val="28"/>
          <w:szCs w:val="28"/>
        </w:rPr>
        <w:t>two special topics and carried out a survey with some members of the Board of Supervisors on the Bank</w:t>
      </w:r>
      <w:r w:rsidR="002A1DE2" w:rsidRPr="000E6591">
        <w:rPr>
          <w:rFonts w:ascii="Times New Roman" w:hAnsi="Times New Roman" w:cs="Times New Roman"/>
          <w:bCs/>
          <w:sz w:val="28"/>
          <w:szCs w:val="28"/>
        </w:rPr>
        <w:t>’</w:t>
      </w:r>
      <w:r w:rsidRPr="000E6591">
        <w:rPr>
          <w:rFonts w:ascii="Times New Roman" w:hAnsi="Times New Roman" w:cs="Times New Roman"/>
          <w:bCs/>
          <w:sz w:val="28"/>
          <w:szCs w:val="28"/>
        </w:rPr>
        <w:t xml:space="preserve">s business institutions to learn about their business operations and put forth relevant opinions and suggestions. First, the Committee has carried out a subject-matter survey on China Industrial International Trust Ltd., suggested clarifying its target position within the Industrial Bank Group, and raised guidance opinions for China Industrial International Trust Ltd. to complete transition and develop core </w:t>
      </w:r>
      <w:r w:rsidR="002A7B91">
        <w:rPr>
          <w:rFonts w:ascii="Times New Roman" w:hAnsi="Times New Roman" w:cs="Times New Roman"/>
          <w:bCs/>
          <w:sz w:val="28"/>
          <w:szCs w:val="28"/>
        </w:rPr>
        <w:t>competencies</w:t>
      </w:r>
      <w:r w:rsidRPr="000E6591">
        <w:rPr>
          <w:rFonts w:ascii="Times New Roman" w:hAnsi="Times New Roman" w:cs="Times New Roman"/>
          <w:bCs/>
          <w:sz w:val="28"/>
          <w:szCs w:val="28"/>
        </w:rPr>
        <w:t xml:space="preserve">. Second, the Committee has carried out a subject-matter survey on the credit card center of the Industrial Bank headquarters, and put forth suggestions on further refining the credit card business. Director </w:t>
      </w:r>
      <w:r w:rsidR="000561EB" w:rsidRPr="000E6591">
        <w:rPr>
          <w:rFonts w:ascii="Times New Roman" w:hAnsi="Times New Roman" w:cs="Times New Roman"/>
          <w:bCs/>
          <w:sz w:val="28"/>
          <w:szCs w:val="28"/>
        </w:rPr>
        <w:t xml:space="preserve">members </w:t>
      </w:r>
      <w:r w:rsidRPr="000E6591">
        <w:rPr>
          <w:rFonts w:ascii="Times New Roman" w:hAnsi="Times New Roman" w:cs="Times New Roman"/>
          <w:bCs/>
          <w:sz w:val="28"/>
          <w:szCs w:val="28"/>
        </w:rPr>
        <w:t>of the Committee delivered a</w:t>
      </w:r>
      <w:r w:rsidR="00FD6E85">
        <w:rPr>
          <w:rFonts w:ascii="Times New Roman" w:hAnsi="Times New Roman" w:cs="Times New Roman"/>
          <w:bCs/>
          <w:sz w:val="28"/>
          <w:szCs w:val="28"/>
        </w:rPr>
        <w:t xml:space="preserve"> status</w:t>
      </w:r>
      <w:r w:rsidRPr="000E6591">
        <w:rPr>
          <w:rFonts w:ascii="Times New Roman" w:hAnsi="Times New Roman" w:cs="Times New Roman"/>
          <w:bCs/>
          <w:sz w:val="28"/>
          <w:szCs w:val="28"/>
        </w:rPr>
        <w:t xml:space="preserve"> report on the above-mentioned surveys to the </w:t>
      </w:r>
      <w:r w:rsidR="00883AFD" w:rsidRPr="000E6591">
        <w:rPr>
          <w:rFonts w:ascii="Times New Roman" w:hAnsi="Times New Roman" w:cs="Times New Roman"/>
          <w:bCs/>
          <w:sz w:val="28"/>
          <w:szCs w:val="28"/>
        </w:rPr>
        <w:t xml:space="preserve">Board </w:t>
      </w:r>
      <w:r w:rsidRPr="000E6591">
        <w:rPr>
          <w:rFonts w:ascii="Times New Roman" w:hAnsi="Times New Roman" w:cs="Times New Roman"/>
          <w:bCs/>
          <w:sz w:val="28"/>
          <w:szCs w:val="28"/>
        </w:rPr>
        <w:t xml:space="preserve">of </w:t>
      </w:r>
      <w:r w:rsidR="00883AFD" w:rsidRPr="000E6591">
        <w:rPr>
          <w:rFonts w:ascii="Times New Roman" w:hAnsi="Times New Roman" w:cs="Times New Roman"/>
          <w:bCs/>
          <w:sz w:val="28"/>
          <w:szCs w:val="28"/>
        </w:rPr>
        <w:t xml:space="preserve">Directors </w:t>
      </w:r>
      <w:r w:rsidRPr="000E6591">
        <w:rPr>
          <w:rFonts w:ascii="Times New Roman" w:hAnsi="Times New Roman" w:cs="Times New Roman"/>
          <w:bCs/>
          <w:sz w:val="28"/>
          <w:szCs w:val="28"/>
        </w:rPr>
        <w:t>and senior management at board meetings, which have received great attention from the management.</w:t>
      </w:r>
    </w:p>
    <w:p w14:paraId="07F2AFFB" w14:textId="0C96EFE4" w:rsidR="009251FF" w:rsidRPr="00BE43E4" w:rsidRDefault="009251FF" w:rsidP="00BE43E4">
      <w:pPr>
        <w:snapToGrid w:val="0"/>
        <w:spacing w:line="560" w:lineRule="exact"/>
        <w:ind w:firstLineChars="200" w:firstLine="560"/>
        <w:rPr>
          <w:rFonts w:eastAsia="仿宋_GB2312"/>
          <w:bCs/>
          <w:sz w:val="28"/>
          <w:szCs w:val="28"/>
        </w:rPr>
      </w:pPr>
      <w:r w:rsidRPr="00BE43E4">
        <w:rPr>
          <w:rFonts w:eastAsia="仿宋_GB2312"/>
          <w:b/>
          <w:sz w:val="28"/>
          <w:szCs w:val="28"/>
        </w:rPr>
        <w:t xml:space="preserve">V. Standardizing the management of related transactions. </w:t>
      </w:r>
      <w:r w:rsidRPr="00BE43E4">
        <w:rPr>
          <w:rFonts w:eastAsia="仿宋_GB2312"/>
          <w:bCs/>
          <w:sz w:val="28"/>
          <w:szCs w:val="28"/>
        </w:rPr>
        <w:t xml:space="preserve">The Committee has continued to review the compliance and procedures of </w:t>
      </w:r>
      <w:r w:rsidRPr="00BE43E4">
        <w:rPr>
          <w:rFonts w:eastAsia="仿宋_GB2312"/>
          <w:bCs/>
          <w:sz w:val="28"/>
          <w:szCs w:val="28"/>
        </w:rPr>
        <w:lastRenderedPageBreak/>
        <w:t>major related transactions strictly in accordance with relevant external laws and regulations and internal rules and diligently fulfill its responsibilities for related transactions. First, the Committee has deliberated the report of related transactions in 2020, and requested the Bank to enhance the review of the fairness and compliance of related transactions to ensure compliance. Second, the Committee has fulfilled its responsibilities for the ex-ante review of major related transactions and examined such matters as the provision of related transactions quota to some majority shareholders, and requested the Bank to report and update related transactions with major related parties to the Committee on a regular basis to ensure that the Bank</w:t>
      </w:r>
      <w:r w:rsidR="002A1DE2" w:rsidRPr="00BE43E4">
        <w:rPr>
          <w:rFonts w:eastAsia="仿宋_GB2312"/>
          <w:bCs/>
          <w:sz w:val="28"/>
          <w:szCs w:val="28"/>
        </w:rPr>
        <w:t>’</w:t>
      </w:r>
      <w:r w:rsidRPr="00BE43E4">
        <w:rPr>
          <w:rFonts w:eastAsia="仿宋_GB2312"/>
          <w:bCs/>
          <w:sz w:val="28"/>
          <w:szCs w:val="28"/>
        </w:rPr>
        <w:t>s transactions with related parties are compliant with regulations, safe, fairly priced, free from tunnelling, and consistent with market conditions and principles. Third, the Committee has regularly reviewed the information of the Bank</w:t>
      </w:r>
      <w:r w:rsidR="002A1DE2" w:rsidRPr="00BE43E4">
        <w:rPr>
          <w:rFonts w:eastAsia="仿宋_GB2312"/>
          <w:bCs/>
          <w:sz w:val="28"/>
          <w:szCs w:val="28"/>
        </w:rPr>
        <w:t>’</w:t>
      </w:r>
      <w:r w:rsidRPr="00BE43E4">
        <w:rPr>
          <w:rFonts w:eastAsia="仿宋_GB2312"/>
          <w:bCs/>
          <w:sz w:val="28"/>
          <w:szCs w:val="28"/>
        </w:rPr>
        <w:t>s related parties to ensure the compliance of related parties and the management of related transactions.</w:t>
      </w:r>
    </w:p>
    <w:p w14:paraId="48764743" w14:textId="77777777" w:rsidR="009251FF" w:rsidRPr="00433412" w:rsidRDefault="009251FF">
      <w:pPr>
        <w:snapToGrid w:val="0"/>
        <w:spacing w:line="560" w:lineRule="exact"/>
        <w:ind w:firstLineChars="200" w:firstLine="560"/>
        <w:rPr>
          <w:rFonts w:eastAsia="仿宋_GB2312"/>
          <w:sz w:val="28"/>
          <w:szCs w:val="28"/>
        </w:rPr>
      </w:pPr>
    </w:p>
    <w:sectPr w:rsidR="009251FF" w:rsidRPr="00433412" w:rsidSect="00E55A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4065" w14:textId="77777777" w:rsidR="00F97915" w:rsidRDefault="00F97915" w:rsidP="00E55AFB">
      <w:r>
        <w:separator/>
      </w:r>
    </w:p>
  </w:endnote>
  <w:endnote w:type="continuationSeparator" w:id="0">
    <w:p w14:paraId="0800AF7E" w14:textId="77777777" w:rsidR="00F97915" w:rsidRDefault="00F97915" w:rsidP="00E5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5314"/>
    </w:sdtPr>
    <w:sdtContent>
      <w:p w14:paraId="4FB05CA3" w14:textId="77777777" w:rsidR="00E55AFB" w:rsidRDefault="001D25E8">
        <w:pPr>
          <w:pStyle w:val="af"/>
          <w:jc w:val="center"/>
        </w:pPr>
        <w:r>
          <w:fldChar w:fldCharType="begin"/>
        </w:r>
        <w:r w:rsidR="00995FB4">
          <w:instrText xml:space="preserve"> PAGE   \* MERGEFORMAT </w:instrText>
        </w:r>
        <w:r>
          <w:fldChar w:fldCharType="separate"/>
        </w:r>
        <w:r w:rsidR="00737EBA" w:rsidRPr="00737EBA">
          <w:rPr>
            <w:noProof/>
            <w:lang w:val="zh-CN"/>
          </w:rPr>
          <w:t>1</w:t>
        </w:r>
        <w:r>
          <w:rPr>
            <w:lang w:val="zh-CN"/>
          </w:rPr>
          <w:fldChar w:fldCharType="end"/>
        </w:r>
      </w:p>
    </w:sdtContent>
  </w:sdt>
  <w:p w14:paraId="3BDEC5B6" w14:textId="77777777" w:rsidR="00E55AFB" w:rsidRDefault="00E55AF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4597" w14:textId="77777777" w:rsidR="00F97915" w:rsidRDefault="00F97915" w:rsidP="00E55AFB">
      <w:r>
        <w:separator/>
      </w:r>
    </w:p>
  </w:footnote>
  <w:footnote w:type="continuationSeparator" w:id="0">
    <w:p w14:paraId="4D6B80F5" w14:textId="77777777" w:rsidR="00F97915" w:rsidRDefault="00F97915" w:rsidP="00E55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49273E-79A2-47F2-B2FB-09F907A8976F}"/>
    <w:docVar w:name="dgnword-eventsink" w:val="784357600"/>
  </w:docVars>
  <w:rsids>
    <w:rsidRoot w:val="00313444"/>
    <w:rsid w:val="00011815"/>
    <w:rsid w:val="00012359"/>
    <w:rsid w:val="00020FC4"/>
    <w:rsid w:val="00021627"/>
    <w:rsid w:val="00023959"/>
    <w:rsid w:val="00025F2C"/>
    <w:rsid w:val="00032192"/>
    <w:rsid w:val="000331ED"/>
    <w:rsid w:val="00033CCA"/>
    <w:rsid w:val="000417F3"/>
    <w:rsid w:val="00046291"/>
    <w:rsid w:val="0004743E"/>
    <w:rsid w:val="00047765"/>
    <w:rsid w:val="0004780D"/>
    <w:rsid w:val="000522A5"/>
    <w:rsid w:val="000561EB"/>
    <w:rsid w:val="000600F0"/>
    <w:rsid w:val="00060929"/>
    <w:rsid w:val="0006153F"/>
    <w:rsid w:val="00063C2A"/>
    <w:rsid w:val="000772C8"/>
    <w:rsid w:val="0008512B"/>
    <w:rsid w:val="00085844"/>
    <w:rsid w:val="00096C0E"/>
    <w:rsid w:val="000A1AC6"/>
    <w:rsid w:val="000A6158"/>
    <w:rsid w:val="000B3160"/>
    <w:rsid w:val="000C14A6"/>
    <w:rsid w:val="000C71CE"/>
    <w:rsid w:val="000D1BDA"/>
    <w:rsid w:val="000D2049"/>
    <w:rsid w:val="000D28EC"/>
    <w:rsid w:val="000D6DD3"/>
    <w:rsid w:val="000E0279"/>
    <w:rsid w:val="000E3898"/>
    <w:rsid w:val="000E6591"/>
    <w:rsid w:val="000E6C27"/>
    <w:rsid w:val="000E7094"/>
    <w:rsid w:val="000E793D"/>
    <w:rsid w:val="000F0396"/>
    <w:rsid w:val="000F5525"/>
    <w:rsid w:val="000F55EC"/>
    <w:rsid w:val="000F7C6A"/>
    <w:rsid w:val="00100827"/>
    <w:rsid w:val="001119FB"/>
    <w:rsid w:val="00114A5E"/>
    <w:rsid w:val="001167A8"/>
    <w:rsid w:val="00123EED"/>
    <w:rsid w:val="00127028"/>
    <w:rsid w:val="00133CB6"/>
    <w:rsid w:val="00133CB8"/>
    <w:rsid w:val="0013430B"/>
    <w:rsid w:val="001456A1"/>
    <w:rsid w:val="001505AD"/>
    <w:rsid w:val="00154478"/>
    <w:rsid w:val="001602E2"/>
    <w:rsid w:val="001619DA"/>
    <w:rsid w:val="001674E6"/>
    <w:rsid w:val="001734B2"/>
    <w:rsid w:val="00173BFC"/>
    <w:rsid w:val="00175286"/>
    <w:rsid w:val="00176A97"/>
    <w:rsid w:val="001864F9"/>
    <w:rsid w:val="00195856"/>
    <w:rsid w:val="00196260"/>
    <w:rsid w:val="001A309A"/>
    <w:rsid w:val="001B0ABB"/>
    <w:rsid w:val="001B3DA3"/>
    <w:rsid w:val="001B3EEF"/>
    <w:rsid w:val="001C188D"/>
    <w:rsid w:val="001C1BB9"/>
    <w:rsid w:val="001C2A41"/>
    <w:rsid w:val="001C55CE"/>
    <w:rsid w:val="001D0728"/>
    <w:rsid w:val="001D25E8"/>
    <w:rsid w:val="001D7124"/>
    <w:rsid w:val="001E06C6"/>
    <w:rsid w:val="001F7435"/>
    <w:rsid w:val="001F775B"/>
    <w:rsid w:val="00200AED"/>
    <w:rsid w:val="0020516E"/>
    <w:rsid w:val="0020745C"/>
    <w:rsid w:val="00210624"/>
    <w:rsid w:val="00217DDD"/>
    <w:rsid w:val="00221104"/>
    <w:rsid w:val="00225240"/>
    <w:rsid w:val="00225C0E"/>
    <w:rsid w:val="0022613B"/>
    <w:rsid w:val="00230EB3"/>
    <w:rsid w:val="0023222A"/>
    <w:rsid w:val="00235CFA"/>
    <w:rsid w:val="002366E8"/>
    <w:rsid w:val="0023780A"/>
    <w:rsid w:val="00240419"/>
    <w:rsid w:val="002461B6"/>
    <w:rsid w:val="002511C2"/>
    <w:rsid w:val="00265360"/>
    <w:rsid w:val="002653C2"/>
    <w:rsid w:val="002672B1"/>
    <w:rsid w:val="00270F7C"/>
    <w:rsid w:val="00275486"/>
    <w:rsid w:val="0027757B"/>
    <w:rsid w:val="00281D24"/>
    <w:rsid w:val="00281F37"/>
    <w:rsid w:val="00282F61"/>
    <w:rsid w:val="00285560"/>
    <w:rsid w:val="00291868"/>
    <w:rsid w:val="002929BA"/>
    <w:rsid w:val="00293681"/>
    <w:rsid w:val="00293BE8"/>
    <w:rsid w:val="002975D0"/>
    <w:rsid w:val="002A0224"/>
    <w:rsid w:val="002A0790"/>
    <w:rsid w:val="002A0A20"/>
    <w:rsid w:val="002A1DE2"/>
    <w:rsid w:val="002A644F"/>
    <w:rsid w:val="002A65F8"/>
    <w:rsid w:val="002A774C"/>
    <w:rsid w:val="002A7B91"/>
    <w:rsid w:val="002B1F27"/>
    <w:rsid w:val="002B2033"/>
    <w:rsid w:val="002B2F14"/>
    <w:rsid w:val="002B43E8"/>
    <w:rsid w:val="002B4CB6"/>
    <w:rsid w:val="002B5E3B"/>
    <w:rsid w:val="002C4D83"/>
    <w:rsid w:val="002D7D6B"/>
    <w:rsid w:val="002E24AB"/>
    <w:rsid w:val="002E6935"/>
    <w:rsid w:val="002F3268"/>
    <w:rsid w:val="002F4956"/>
    <w:rsid w:val="002F68DC"/>
    <w:rsid w:val="00302AC9"/>
    <w:rsid w:val="00307180"/>
    <w:rsid w:val="00310A4F"/>
    <w:rsid w:val="00311608"/>
    <w:rsid w:val="00313444"/>
    <w:rsid w:val="00314965"/>
    <w:rsid w:val="003163D8"/>
    <w:rsid w:val="00317155"/>
    <w:rsid w:val="00317640"/>
    <w:rsid w:val="00327B9C"/>
    <w:rsid w:val="00344982"/>
    <w:rsid w:val="00346B59"/>
    <w:rsid w:val="00347214"/>
    <w:rsid w:val="0035199F"/>
    <w:rsid w:val="00353D8F"/>
    <w:rsid w:val="00360784"/>
    <w:rsid w:val="00375D18"/>
    <w:rsid w:val="00375D66"/>
    <w:rsid w:val="003851EA"/>
    <w:rsid w:val="00386B4A"/>
    <w:rsid w:val="003872FD"/>
    <w:rsid w:val="00387672"/>
    <w:rsid w:val="0039058F"/>
    <w:rsid w:val="0039277D"/>
    <w:rsid w:val="00395768"/>
    <w:rsid w:val="003A02A6"/>
    <w:rsid w:val="003A117F"/>
    <w:rsid w:val="003A2CF9"/>
    <w:rsid w:val="003A36FD"/>
    <w:rsid w:val="003A5D44"/>
    <w:rsid w:val="003A7A43"/>
    <w:rsid w:val="003B0714"/>
    <w:rsid w:val="003B11D1"/>
    <w:rsid w:val="003B652D"/>
    <w:rsid w:val="003B77B7"/>
    <w:rsid w:val="003C15D9"/>
    <w:rsid w:val="003C3592"/>
    <w:rsid w:val="003C4513"/>
    <w:rsid w:val="003C45D8"/>
    <w:rsid w:val="003C651E"/>
    <w:rsid w:val="003D13C4"/>
    <w:rsid w:val="003D2076"/>
    <w:rsid w:val="003D2DEE"/>
    <w:rsid w:val="003E5D95"/>
    <w:rsid w:val="003E5E06"/>
    <w:rsid w:val="003E7351"/>
    <w:rsid w:val="003F310E"/>
    <w:rsid w:val="003F3AC9"/>
    <w:rsid w:val="004006E4"/>
    <w:rsid w:val="00402B78"/>
    <w:rsid w:val="00403BC2"/>
    <w:rsid w:val="00403E3B"/>
    <w:rsid w:val="00404B00"/>
    <w:rsid w:val="00410D1E"/>
    <w:rsid w:val="00413441"/>
    <w:rsid w:val="004134CC"/>
    <w:rsid w:val="0041462F"/>
    <w:rsid w:val="00415FD1"/>
    <w:rsid w:val="004227C1"/>
    <w:rsid w:val="0042715E"/>
    <w:rsid w:val="00433412"/>
    <w:rsid w:val="00445724"/>
    <w:rsid w:val="00450054"/>
    <w:rsid w:val="0045204D"/>
    <w:rsid w:val="00456372"/>
    <w:rsid w:val="00465A5D"/>
    <w:rsid w:val="00465DFE"/>
    <w:rsid w:val="0046619B"/>
    <w:rsid w:val="00474D83"/>
    <w:rsid w:val="00475C8F"/>
    <w:rsid w:val="00480BE0"/>
    <w:rsid w:val="0048314B"/>
    <w:rsid w:val="00483242"/>
    <w:rsid w:val="004927B7"/>
    <w:rsid w:val="00494967"/>
    <w:rsid w:val="004951D9"/>
    <w:rsid w:val="0049744E"/>
    <w:rsid w:val="004A1A77"/>
    <w:rsid w:val="004A24FF"/>
    <w:rsid w:val="004B2079"/>
    <w:rsid w:val="004C4E4D"/>
    <w:rsid w:val="004C667B"/>
    <w:rsid w:val="004D0506"/>
    <w:rsid w:val="004D2D58"/>
    <w:rsid w:val="004D4A33"/>
    <w:rsid w:val="004E436E"/>
    <w:rsid w:val="004E51D1"/>
    <w:rsid w:val="004E762A"/>
    <w:rsid w:val="004F16CA"/>
    <w:rsid w:val="004F4B73"/>
    <w:rsid w:val="00501171"/>
    <w:rsid w:val="0050697A"/>
    <w:rsid w:val="0051135B"/>
    <w:rsid w:val="00522D4E"/>
    <w:rsid w:val="00527AC2"/>
    <w:rsid w:val="00531051"/>
    <w:rsid w:val="00533AFC"/>
    <w:rsid w:val="00536C95"/>
    <w:rsid w:val="00544A34"/>
    <w:rsid w:val="00551461"/>
    <w:rsid w:val="00566899"/>
    <w:rsid w:val="00581102"/>
    <w:rsid w:val="00583545"/>
    <w:rsid w:val="00585D11"/>
    <w:rsid w:val="00586409"/>
    <w:rsid w:val="005868F4"/>
    <w:rsid w:val="005911E1"/>
    <w:rsid w:val="005927D9"/>
    <w:rsid w:val="005974EF"/>
    <w:rsid w:val="00597B18"/>
    <w:rsid w:val="005B27AB"/>
    <w:rsid w:val="005B4A94"/>
    <w:rsid w:val="005B71A6"/>
    <w:rsid w:val="005C4B58"/>
    <w:rsid w:val="005C56AA"/>
    <w:rsid w:val="005C5EB8"/>
    <w:rsid w:val="005C76C3"/>
    <w:rsid w:val="005C7734"/>
    <w:rsid w:val="005D3169"/>
    <w:rsid w:val="005D5259"/>
    <w:rsid w:val="005D59EF"/>
    <w:rsid w:val="005E44B6"/>
    <w:rsid w:val="005E78F4"/>
    <w:rsid w:val="005F1A85"/>
    <w:rsid w:val="005F2073"/>
    <w:rsid w:val="005F5297"/>
    <w:rsid w:val="00603684"/>
    <w:rsid w:val="006079AC"/>
    <w:rsid w:val="00610C96"/>
    <w:rsid w:val="00613772"/>
    <w:rsid w:val="006168D7"/>
    <w:rsid w:val="006229C2"/>
    <w:rsid w:val="00631545"/>
    <w:rsid w:val="00635491"/>
    <w:rsid w:val="006379A3"/>
    <w:rsid w:val="00637F65"/>
    <w:rsid w:val="006441BE"/>
    <w:rsid w:val="0064705A"/>
    <w:rsid w:val="00647442"/>
    <w:rsid w:val="00651685"/>
    <w:rsid w:val="00652BB7"/>
    <w:rsid w:val="00655ECE"/>
    <w:rsid w:val="0065619A"/>
    <w:rsid w:val="006627EB"/>
    <w:rsid w:val="00663704"/>
    <w:rsid w:val="00663F89"/>
    <w:rsid w:val="00664227"/>
    <w:rsid w:val="00676972"/>
    <w:rsid w:val="00682F28"/>
    <w:rsid w:val="006864D6"/>
    <w:rsid w:val="00693138"/>
    <w:rsid w:val="00693A84"/>
    <w:rsid w:val="006A2F75"/>
    <w:rsid w:val="006A4F33"/>
    <w:rsid w:val="006B0E5D"/>
    <w:rsid w:val="006B1C02"/>
    <w:rsid w:val="006B5ECA"/>
    <w:rsid w:val="006B6535"/>
    <w:rsid w:val="006B68FE"/>
    <w:rsid w:val="006B7767"/>
    <w:rsid w:val="006C275E"/>
    <w:rsid w:val="006C7176"/>
    <w:rsid w:val="006D30F4"/>
    <w:rsid w:val="006D33A9"/>
    <w:rsid w:val="006D34F3"/>
    <w:rsid w:val="006D3C0E"/>
    <w:rsid w:val="006D4856"/>
    <w:rsid w:val="006D67FD"/>
    <w:rsid w:val="006E1A31"/>
    <w:rsid w:val="006E51F5"/>
    <w:rsid w:val="006E5C26"/>
    <w:rsid w:val="006F0CA0"/>
    <w:rsid w:val="006F1F0F"/>
    <w:rsid w:val="006F4C74"/>
    <w:rsid w:val="00700A3E"/>
    <w:rsid w:val="00706185"/>
    <w:rsid w:val="00716703"/>
    <w:rsid w:val="00723BD5"/>
    <w:rsid w:val="007254A4"/>
    <w:rsid w:val="00727B8E"/>
    <w:rsid w:val="00734455"/>
    <w:rsid w:val="00736FFE"/>
    <w:rsid w:val="00737EBA"/>
    <w:rsid w:val="00753080"/>
    <w:rsid w:val="00754AAF"/>
    <w:rsid w:val="0075520A"/>
    <w:rsid w:val="0076037F"/>
    <w:rsid w:val="0076226C"/>
    <w:rsid w:val="0076278A"/>
    <w:rsid w:val="00767680"/>
    <w:rsid w:val="00775B9D"/>
    <w:rsid w:val="00775EDF"/>
    <w:rsid w:val="00776A5A"/>
    <w:rsid w:val="00793EB0"/>
    <w:rsid w:val="007A6AD0"/>
    <w:rsid w:val="007B0660"/>
    <w:rsid w:val="007B155B"/>
    <w:rsid w:val="007B4E9F"/>
    <w:rsid w:val="007B5BA9"/>
    <w:rsid w:val="007C0BBF"/>
    <w:rsid w:val="007C1A04"/>
    <w:rsid w:val="007C5005"/>
    <w:rsid w:val="007C5972"/>
    <w:rsid w:val="007C688B"/>
    <w:rsid w:val="007C717D"/>
    <w:rsid w:val="007D0CEB"/>
    <w:rsid w:val="007D4F94"/>
    <w:rsid w:val="007D7000"/>
    <w:rsid w:val="007E32B4"/>
    <w:rsid w:val="007E3D38"/>
    <w:rsid w:val="007F2839"/>
    <w:rsid w:val="007F2DA4"/>
    <w:rsid w:val="007F38D2"/>
    <w:rsid w:val="007F4551"/>
    <w:rsid w:val="007F5177"/>
    <w:rsid w:val="007F77A9"/>
    <w:rsid w:val="007F7E1B"/>
    <w:rsid w:val="00801479"/>
    <w:rsid w:val="00804D23"/>
    <w:rsid w:val="008129A1"/>
    <w:rsid w:val="00813086"/>
    <w:rsid w:val="00831CCF"/>
    <w:rsid w:val="00837C06"/>
    <w:rsid w:val="0084273C"/>
    <w:rsid w:val="008433FE"/>
    <w:rsid w:val="0085087F"/>
    <w:rsid w:val="008524FA"/>
    <w:rsid w:val="0085562B"/>
    <w:rsid w:val="008557C9"/>
    <w:rsid w:val="008619C8"/>
    <w:rsid w:val="00864BDE"/>
    <w:rsid w:val="008665D2"/>
    <w:rsid w:val="008717B2"/>
    <w:rsid w:val="00871921"/>
    <w:rsid w:val="00872F1A"/>
    <w:rsid w:val="008755DC"/>
    <w:rsid w:val="00875B0E"/>
    <w:rsid w:val="00883AFD"/>
    <w:rsid w:val="0088498C"/>
    <w:rsid w:val="008868B5"/>
    <w:rsid w:val="0089538D"/>
    <w:rsid w:val="008969D6"/>
    <w:rsid w:val="008A055B"/>
    <w:rsid w:val="008B0125"/>
    <w:rsid w:val="008B650F"/>
    <w:rsid w:val="008C0655"/>
    <w:rsid w:val="008C24E7"/>
    <w:rsid w:val="008C5A09"/>
    <w:rsid w:val="008C62F4"/>
    <w:rsid w:val="008C6C5E"/>
    <w:rsid w:val="008D3CF7"/>
    <w:rsid w:val="008D5D4D"/>
    <w:rsid w:val="008D785B"/>
    <w:rsid w:val="008E14D3"/>
    <w:rsid w:val="008E2F73"/>
    <w:rsid w:val="008E3A89"/>
    <w:rsid w:val="008E64CD"/>
    <w:rsid w:val="008E693A"/>
    <w:rsid w:val="008E6B18"/>
    <w:rsid w:val="008F1615"/>
    <w:rsid w:val="008F5EB0"/>
    <w:rsid w:val="0090263B"/>
    <w:rsid w:val="00905DCB"/>
    <w:rsid w:val="00906BC9"/>
    <w:rsid w:val="009106E7"/>
    <w:rsid w:val="0091319A"/>
    <w:rsid w:val="00913206"/>
    <w:rsid w:val="009251FF"/>
    <w:rsid w:val="00926D52"/>
    <w:rsid w:val="0092737D"/>
    <w:rsid w:val="009279A3"/>
    <w:rsid w:val="009318C8"/>
    <w:rsid w:val="00931E96"/>
    <w:rsid w:val="009333E4"/>
    <w:rsid w:val="00941752"/>
    <w:rsid w:val="0094327F"/>
    <w:rsid w:val="00943A4E"/>
    <w:rsid w:val="0095014E"/>
    <w:rsid w:val="0095256C"/>
    <w:rsid w:val="009533A0"/>
    <w:rsid w:val="009643CE"/>
    <w:rsid w:val="00971365"/>
    <w:rsid w:val="009716EE"/>
    <w:rsid w:val="00975211"/>
    <w:rsid w:val="009763DF"/>
    <w:rsid w:val="00976CE3"/>
    <w:rsid w:val="00984ADB"/>
    <w:rsid w:val="00990182"/>
    <w:rsid w:val="00991E43"/>
    <w:rsid w:val="0099301C"/>
    <w:rsid w:val="009942BE"/>
    <w:rsid w:val="00994E72"/>
    <w:rsid w:val="009950F2"/>
    <w:rsid w:val="00995FB4"/>
    <w:rsid w:val="009A1324"/>
    <w:rsid w:val="009A1AEE"/>
    <w:rsid w:val="009A4450"/>
    <w:rsid w:val="009A4453"/>
    <w:rsid w:val="009A5FE4"/>
    <w:rsid w:val="009B1F50"/>
    <w:rsid w:val="009B20B4"/>
    <w:rsid w:val="009B57C0"/>
    <w:rsid w:val="009B788A"/>
    <w:rsid w:val="009C1278"/>
    <w:rsid w:val="009C2952"/>
    <w:rsid w:val="009C6184"/>
    <w:rsid w:val="009C6C6C"/>
    <w:rsid w:val="009D00A3"/>
    <w:rsid w:val="009D64A2"/>
    <w:rsid w:val="009D6B04"/>
    <w:rsid w:val="009E081A"/>
    <w:rsid w:val="009E3F13"/>
    <w:rsid w:val="009E6998"/>
    <w:rsid w:val="009F1017"/>
    <w:rsid w:val="009F186A"/>
    <w:rsid w:val="009F298B"/>
    <w:rsid w:val="00A04DE7"/>
    <w:rsid w:val="00A1105D"/>
    <w:rsid w:val="00A12430"/>
    <w:rsid w:val="00A12495"/>
    <w:rsid w:val="00A21552"/>
    <w:rsid w:val="00A23E6C"/>
    <w:rsid w:val="00A249A7"/>
    <w:rsid w:val="00A351A1"/>
    <w:rsid w:val="00A357D7"/>
    <w:rsid w:val="00A3734C"/>
    <w:rsid w:val="00A3777A"/>
    <w:rsid w:val="00A41291"/>
    <w:rsid w:val="00A469F2"/>
    <w:rsid w:val="00A526D8"/>
    <w:rsid w:val="00A549BA"/>
    <w:rsid w:val="00A5603F"/>
    <w:rsid w:val="00A61596"/>
    <w:rsid w:val="00A654D3"/>
    <w:rsid w:val="00A72A73"/>
    <w:rsid w:val="00A72E49"/>
    <w:rsid w:val="00A75653"/>
    <w:rsid w:val="00A75916"/>
    <w:rsid w:val="00A83073"/>
    <w:rsid w:val="00A84D16"/>
    <w:rsid w:val="00A935F9"/>
    <w:rsid w:val="00A9619C"/>
    <w:rsid w:val="00A96736"/>
    <w:rsid w:val="00AA2230"/>
    <w:rsid w:val="00AA583C"/>
    <w:rsid w:val="00AA6BA4"/>
    <w:rsid w:val="00AA7284"/>
    <w:rsid w:val="00AA7C8D"/>
    <w:rsid w:val="00AB30F7"/>
    <w:rsid w:val="00AB3536"/>
    <w:rsid w:val="00AB4374"/>
    <w:rsid w:val="00AB51E9"/>
    <w:rsid w:val="00AC5DC0"/>
    <w:rsid w:val="00AD1C38"/>
    <w:rsid w:val="00AE47A5"/>
    <w:rsid w:val="00AF2299"/>
    <w:rsid w:val="00AF550D"/>
    <w:rsid w:val="00AF6F8F"/>
    <w:rsid w:val="00B004C7"/>
    <w:rsid w:val="00B046ED"/>
    <w:rsid w:val="00B05D7F"/>
    <w:rsid w:val="00B068D3"/>
    <w:rsid w:val="00B1725F"/>
    <w:rsid w:val="00B22C8D"/>
    <w:rsid w:val="00B318AD"/>
    <w:rsid w:val="00B450C6"/>
    <w:rsid w:val="00B513F4"/>
    <w:rsid w:val="00B64965"/>
    <w:rsid w:val="00B65EEF"/>
    <w:rsid w:val="00B66162"/>
    <w:rsid w:val="00B72EE5"/>
    <w:rsid w:val="00B76D79"/>
    <w:rsid w:val="00B82A98"/>
    <w:rsid w:val="00B86370"/>
    <w:rsid w:val="00B87BCD"/>
    <w:rsid w:val="00B90CB1"/>
    <w:rsid w:val="00B962C9"/>
    <w:rsid w:val="00BA0EE0"/>
    <w:rsid w:val="00BB2683"/>
    <w:rsid w:val="00BB2790"/>
    <w:rsid w:val="00BB5865"/>
    <w:rsid w:val="00BD017B"/>
    <w:rsid w:val="00BD3565"/>
    <w:rsid w:val="00BD3CB3"/>
    <w:rsid w:val="00BD519D"/>
    <w:rsid w:val="00BD71AE"/>
    <w:rsid w:val="00BE43E4"/>
    <w:rsid w:val="00BE493F"/>
    <w:rsid w:val="00BE5DD6"/>
    <w:rsid w:val="00BF55FE"/>
    <w:rsid w:val="00C039B7"/>
    <w:rsid w:val="00C1086F"/>
    <w:rsid w:val="00C148CA"/>
    <w:rsid w:val="00C16899"/>
    <w:rsid w:val="00C20C88"/>
    <w:rsid w:val="00C22EF3"/>
    <w:rsid w:val="00C25A33"/>
    <w:rsid w:val="00C2623B"/>
    <w:rsid w:val="00C319D2"/>
    <w:rsid w:val="00C337AA"/>
    <w:rsid w:val="00C4742F"/>
    <w:rsid w:val="00C478C1"/>
    <w:rsid w:val="00C5533B"/>
    <w:rsid w:val="00C565DB"/>
    <w:rsid w:val="00C71735"/>
    <w:rsid w:val="00C77762"/>
    <w:rsid w:val="00C94592"/>
    <w:rsid w:val="00CA02BB"/>
    <w:rsid w:val="00CA2A93"/>
    <w:rsid w:val="00CA3772"/>
    <w:rsid w:val="00CA3781"/>
    <w:rsid w:val="00CA6A8B"/>
    <w:rsid w:val="00CA7413"/>
    <w:rsid w:val="00CB16FC"/>
    <w:rsid w:val="00CB6C6C"/>
    <w:rsid w:val="00CC269C"/>
    <w:rsid w:val="00CC679B"/>
    <w:rsid w:val="00CD64A9"/>
    <w:rsid w:val="00CE0104"/>
    <w:rsid w:val="00CE51F0"/>
    <w:rsid w:val="00CE5ACF"/>
    <w:rsid w:val="00CF28EE"/>
    <w:rsid w:val="00CF3F47"/>
    <w:rsid w:val="00CF6EF8"/>
    <w:rsid w:val="00D016C3"/>
    <w:rsid w:val="00D0767F"/>
    <w:rsid w:val="00D077A7"/>
    <w:rsid w:val="00D14990"/>
    <w:rsid w:val="00D20737"/>
    <w:rsid w:val="00D234E4"/>
    <w:rsid w:val="00D248DB"/>
    <w:rsid w:val="00D259EA"/>
    <w:rsid w:val="00D25D99"/>
    <w:rsid w:val="00D2798A"/>
    <w:rsid w:val="00D50A70"/>
    <w:rsid w:val="00D54B94"/>
    <w:rsid w:val="00D56D00"/>
    <w:rsid w:val="00D601EB"/>
    <w:rsid w:val="00D62C5D"/>
    <w:rsid w:val="00D66357"/>
    <w:rsid w:val="00D86943"/>
    <w:rsid w:val="00D872D8"/>
    <w:rsid w:val="00D90287"/>
    <w:rsid w:val="00D92FFD"/>
    <w:rsid w:val="00D941B8"/>
    <w:rsid w:val="00DA067F"/>
    <w:rsid w:val="00DA4798"/>
    <w:rsid w:val="00DB1969"/>
    <w:rsid w:val="00DB51A5"/>
    <w:rsid w:val="00DB7918"/>
    <w:rsid w:val="00DC3108"/>
    <w:rsid w:val="00DC4A25"/>
    <w:rsid w:val="00DD418C"/>
    <w:rsid w:val="00DE2DAE"/>
    <w:rsid w:val="00DE6CED"/>
    <w:rsid w:val="00DE71D4"/>
    <w:rsid w:val="00DF169E"/>
    <w:rsid w:val="00DF3FE7"/>
    <w:rsid w:val="00DF4778"/>
    <w:rsid w:val="00DF4EB3"/>
    <w:rsid w:val="00E03293"/>
    <w:rsid w:val="00E10053"/>
    <w:rsid w:val="00E107D1"/>
    <w:rsid w:val="00E12875"/>
    <w:rsid w:val="00E164BE"/>
    <w:rsid w:val="00E204DA"/>
    <w:rsid w:val="00E20C55"/>
    <w:rsid w:val="00E23523"/>
    <w:rsid w:val="00E24448"/>
    <w:rsid w:val="00E2450B"/>
    <w:rsid w:val="00E336DE"/>
    <w:rsid w:val="00E33D78"/>
    <w:rsid w:val="00E34BE7"/>
    <w:rsid w:val="00E34DB6"/>
    <w:rsid w:val="00E44CB6"/>
    <w:rsid w:val="00E45C95"/>
    <w:rsid w:val="00E50C65"/>
    <w:rsid w:val="00E54B84"/>
    <w:rsid w:val="00E55AFB"/>
    <w:rsid w:val="00E567DC"/>
    <w:rsid w:val="00E56E07"/>
    <w:rsid w:val="00E709A6"/>
    <w:rsid w:val="00E7228E"/>
    <w:rsid w:val="00E74D95"/>
    <w:rsid w:val="00E8664E"/>
    <w:rsid w:val="00E87A47"/>
    <w:rsid w:val="00E93759"/>
    <w:rsid w:val="00EA0C4D"/>
    <w:rsid w:val="00EA1141"/>
    <w:rsid w:val="00EA17AF"/>
    <w:rsid w:val="00EA7786"/>
    <w:rsid w:val="00EB0B82"/>
    <w:rsid w:val="00EB1887"/>
    <w:rsid w:val="00EB3D40"/>
    <w:rsid w:val="00EC0FEB"/>
    <w:rsid w:val="00EC1109"/>
    <w:rsid w:val="00EC1C9A"/>
    <w:rsid w:val="00EC250B"/>
    <w:rsid w:val="00EC4F9B"/>
    <w:rsid w:val="00ED0366"/>
    <w:rsid w:val="00ED0C22"/>
    <w:rsid w:val="00ED3574"/>
    <w:rsid w:val="00ED3754"/>
    <w:rsid w:val="00ED4FF8"/>
    <w:rsid w:val="00ED7105"/>
    <w:rsid w:val="00EE076F"/>
    <w:rsid w:val="00EE12CB"/>
    <w:rsid w:val="00EE5042"/>
    <w:rsid w:val="00EE5A9A"/>
    <w:rsid w:val="00EE6240"/>
    <w:rsid w:val="00EE6FCD"/>
    <w:rsid w:val="00EF09DD"/>
    <w:rsid w:val="00EF1BD1"/>
    <w:rsid w:val="00EF3946"/>
    <w:rsid w:val="00EF5DEA"/>
    <w:rsid w:val="00F0197C"/>
    <w:rsid w:val="00F04312"/>
    <w:rsid w:val="00F06FD6"/>
    <w:rsid w:val="00F10103"/>
    <w:rsid w:val="00F20FC2"/>
    <w:rsid w:val="00F24E10"/>
    <w:rsid w:val="00F31247"/>
    <w:rsid w:val="00F32C6B"/>
    <w:rsid w:val="00F33DA4"/>
    <w:rsid w:val="00F34946"/>
    <w:rsid w:val="00F375AB"/>
    <w:rsid w:val="00F444FB"/>
    <w:rsid w:val="00F45915"/>
    <w:rsid w:val="00F51514"/>
    <w:rsid w:val="00F52095"/>
    <w:rsid w:val="00F521B5"/>
    <w:rsid w:val="00F54226"/>
    <w:rsid w:val="00F57CCF"/>
    <w:rsid w:val="00F62801"/>
    <w:rsid w:val="00F6613B"/>
    <w:rsid w:val="00F67E56"/>
    <w:rsid w:val="00F707BC"/>
    <w:rsid w:val="00F70A7B"/>
    <w:rsid w:val="00F737E6"/>
    <w:rsid w:val="00F75561"/>
    <w:rsid w:val="00F8018D"/>
    <w:rsid w:val="00F82381"/>
    <w:rsid w:val="00F83298"/>
    <w:rsid w:val="00F84753"/>
    <w:rsid w:val="00F84888"/>
    <w:rsid w:val="00F87320"/>
    <w:rsid w:val="00F941C8"/>
    <w:rsid w:val="00F97915"/>
    <w:rsid w:val="00F97B33"/>
    <w:rsid w:val="00FA30BA"/>
    <w:rsid w:val="00FA3729"/>
    <w:rsid w:val="00FA3AE1"/>
    <w:rsid w:val="00FA6864"/>
    <w:rsid w:val="00FB461D"/>
    <w:rsid w:val="00FB63B6"/>
    <w:rsid w:val="00FC19EB"/>
    <w:rsid w:val="00FC2809"/>
    <w:rsid w:val="00FC31F7"/>
    <w:rsid w:val="00FC559E"/>
    <w:rsid w:val="00FC717D"/>
    <w:rsid w:val="00FD3058"/>
    <w:rsid w:val="00FD32A2"/>
    <w:rsid w:val="00FD3E81"/>
    <w:rsid w:val="00FD6E85"/>
    <w:rsid w:val="00FE001B"/>
    <w:rsid w:val="00FF3E0D"/>
    <w:rsid w:val="03942413"/>
    <w:rsid w:val="0A4D2B4A"/>
    <w:rsid w:val="1A4B0E6A"/>
    <w:rsid w:val="4C9558C5"/>
    <w:rsid w:val="6CAE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659C0"/>
  <w15:docId w15:val="{08A2F862-4F83-41AA-91A9-E112FB5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FB"/>
    <w:pPr>
      <w:widowControl w:val="0"/>
      <w:jc w:val="both"/>
    </w:pPr>
    <w:rPr>
      <w:rFonts w:ascii="Times New Roman" w:eastAsia="宋体" w:hAnsi="Times New Roman" w:cs="Times New Roman"/>
      <w:kern w:val="2"/>
      <w:sz w:val="21"/>
    </w:rPr>
  </w:style>
  <w:style w:type="paragraph" w:styleId="1">
    <w:name w:val="heading 1"/>
    <w:basedOn w:val="a"/>
    <w:next w:val="a"/>
    <w:link w:val="10"/>
    <w:qFormat/>
    <w:rsid w:val="00E55AFB"/>
    <w:pPr>
      <w:keepNext/>
      <w:keepLines/>
      <w:tabs>
        <w:tab w:val="left" w:pos="432"/>
      </w:tabs>
      <w:spacing w:before="120" w:after="120" w:line="360" w:lineRule="auto"/>
      <w:ind w:left="432" w:hanging="432"/>
      <w:jc w:val="center"/>
      <w:outlineLvl w:val="0"/>
    </w:pPr>
    <w:rPr>
      <w:rFonts w:ascii="黑体"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E55AFB"/>
    <w:pPr>
      <w:jc w:val="left"/>
    </w:pPr>
    <w:rPr>
      <w:szCs w:val="24"/>
    </w:rPr>
  </w:style>
  <w:style w:type="paragraph" w:styleId="a5">
    <w:name w:val="Body Text Indent"/>
    <w:basedOn w:val="a"/>
    <w:link w:val="a6"/>
    <w:semiHidden/>
    <w:unhideWhenUsed/>
    <w:rsid w:val="00E55AFB"/>
    <w:pPr>
      <w:spacing w:line="500" w:lineRule="exact"/>
      <w:ind w:firstLineChars="200" w:firstLine="562"/>
    </w:pPr>
    <w:rPr>
      <w:rFonts w:ascii="仿宋_GB2312" w:eastAsia="仿宋_GB2312" w:hAnsi="宋体"/>
      <w:b/>
      <w:bCs/>
      <w:color w:val="000000"/>
      <w:kern w:val="0"/>
      <w:sz w:val="28"/>
      <w:szCs w:val="28"/>
    </w:rPr>
  </w:style>
  <w:style w:type="paragraph" w:styleId="a7">
    <w:name w:val="Plain Text"/>
    <w:basedOn w:val="a"/>
    <w:link w:val="a8"/>
    <w:uiPriority w:val="99"/>
    <w:unhideWhenUsed/>
    <w:qFormat/>
    <w:rsid w:val="00E55AFB"/>
    <w:rPr>
      <w:rFonts w:ascii="宋体" w:eastAsia="仿宋_GB2312" w:hAnsi="Courier New" w:cs="Courier New"/>
      <w:sz w:val="32"/>
      <w:szCs w:val="21"/>
    </w:rPr>
  </w:style>
  <w:style w:type="paragraph" w:styleId="a9">
    <w:name w:val="Date"/>
    <w:basedOn w:val="a"/>
    <w:next w:val="a"/>
    <w:link w:val="aa"/>
    <w:semiHidden/>
    <w:unhideWhenUsed/>
    <w:rsid w:val="00E55AFB"/>
    <w:pPr>
      <w:ind w:leftChars="2500" w:left="100"/>
    </w:pPr>
    <w:rPr>
      <w:sz w:val="30"/>
      <w:szCs w:val="24"/>
    </w:rPr>
  </w:style>
  <w:style w:type="paragraph" w:styleId="2">
    <w:name w:val="Body Text Indent 2"/>
    <w:basedOn w:val="a"/>
    <w:link w:val="20"/>
    <w:uiPriority w:val="99"/>
    <w:semiHidden/>
    <w:unhideWhenUsed/>
    <w:rsid w:val="00E55AFB"/>
    <w:pPr>
      <w:spacing w:after="120" w:line="480" w:lineRule="auto"/>
      <w:ind w:leftChars="200" w:left="420"/>
    </w:pPr>
  </w:style>
  <w:style w:type="paragraph" w:styleId="ab">
    <w:name w:val="endnote text"/>
    <w:basedOn w:val="a"/>
    <w:link w:val="ac"/>
    <w:semiHidden/>
    <w:unhideWhenUsed/>
    <w:qFormat/>
    <w:rsid w:val="00E55AFB"/>
    <w:pPr>
      <w:snapToGrid w:val="0"/>
      <w:jc w:val="left"/>
    </w:pPr>
    <w:rPr>
      <w:szCs w:val="24"/>
    </w:rPr>
  </w:style>
  <w:style w:type="paragraph" w:styleId="ad">
    <w:name w:val="Balloon Text"/>
    <w:basedOn w:val="a"/>
    <w:link w:val="ae"/>
    <w:uiPriority w:val="99"/>
    <w:semiHidden/>
    <w:unhideWhenUsed/>
    <w:rsid w:val="00E55AFB"/>
    <w:rPr>
      <w:sz w:val="18"/>
      <w:szCs w:val="18"/>
    </w:rPr>
  </w:style>
  <w:style w:type="paragraph" w:styleId="af">
    <w:name w:val="footer"/>
    <w:basedOn w:val="a"/>
    <w:link w:val="af0"/>
    <w:uiPriority w:val="99"/>
    <w:unhideWhenUsed/>
    <w:rsid w:val="00E55AFB"/>
    <w:pPr>
      <w:tabs>
        <w:tab w:val="center" w:pos="4153"/>
        <w:tab w:val="right" w:pos="8306"/>
      </w:tabs>
      <w:snapToGrid w:val="0"/>
      <w:jc w:val="left"/>
    </w:pPr>
    <w:rPr>
      <w:sz w:val="18"/>
      <w:szCs w:val="18"/>
    </w:rPr>
  </w:style>
  <w:style w:type="paragraph" w:styleId="af1">
    <w:name w:val="header"/>
    <w:basedOn w:val="a"/>
    <w:link w:val="af2"/>
    <w:uiPriority w:val="99"/>
    <w:unhideWhenUsed/>
    <w:rsid w:val="00E55AFB"/>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rsid w:val="00E55AFB"/>
    <w:pPr>
      <w:tabs>
        <w:tab w:val="right" w:leader="dot" w:pos="8296"/>
      </w:tabs>
      <w:spacing w:line="500" w:lineRule="exact"/>
    </w:pPr>
    <w:rPr>
      <w:rFonts w:ascii="仿宋_GB2312" w:eastAsia="仿宋_GB2312"/>
      <w:sz w:val="28"/>
      <w:szCs w:val="28"/>
    </w:rPr>
  </w:style>
  <w:style w:type="paragraph" w:styleId="af3">
    <w:name w:val="footnote text"/>
    <w:basedOn w:val="a"/>
    <w:link w:val="af4"/>
    <w:semiHidden/>
    <w:unhideWhenUsed/>
    <w:rsid w:val="00E55AFB"/>
    <w:pPr>
      <w:snapToGrid w:val="0"/>
      <w:jc w:val="left"/>
    </w:pPr>
    <w:rPr>
      <w:sz w:val="18"/>
      <w:szCs w:val="18"/>
    </w:rPr>
  </w:style>
  <w:style w:type="paragraph" w:styleId="3">
    <w:name w:val="Body Text Indent 3"/>
    <w:basedOn w:val="a"/>
    <w:link w:val="30"/>
    <w:semiHidden/>
    <w:unhideWhenUsed/>
    <w:rsid w:val="00E55AFB"/>
    <w:pPr>
      <w:spacing w:after="120"/>
      <w:ind w:leftChars="200" w:left="420"/>
    </w:pPr>
    <w:rPr>
      <w:sz w:val="16"/>
      <w:szCs w:val="16"/>
    </w:rPr>
  </w:style>
  <w:style w:type="paragraph" w:styleId="af5">
    <w:name w:val="annotation subject"/>
    <w:basedOn w:val="a3"/>
    <w:next w:val="a3"/>
    <w:link w:val="af6"/>
    <w:semiHidden/>
    <w:unhideWhenUsed/>
    <w:rsid w:val="00E55AFB"/>
    <w:rPr>
      <w:b/>
      <w:bCs/>
    </w:rPr>
  </w:style>
  <w:style w:type="character" w:styleId="af7">
    <w:name w:val="Hyperlink"/>
    <w:basedOn w:val="a0"/>
    <w:uiPriority w:val="99"/>
    <w:unhideWhenUsed/>
    <w:rsid w:val="00E55AFB"/>
    <w:rPr>
      <w:color w:val="0000FF"/>
      <w:u w:val="single"/>
    </w:rPr>
  </w:style>
  <w:style w:type="character" w:styleId="af8">
    <w:name w:val="footnote reference"/>
    <w:basedOn w:val="a0"/>
    <w:rsid w:val="00E55AFB"/>
    <w:rPr>
      <w:vertAlign w:val="superscript"/>
    </w:rPr>
  </w:style>
  <w:style w:type="character" w:customStyle="1" w:styleId="10">
    <w:name w:val="标题 1 字符"/>
    <w:basedOn w:val="a0"/>
    <w:link w:val="1"/>
    <w:qFormat/>
    <w:rsid w:val="00E55AFB"/>
    <w:rPr>
      <w:rFonts w:ascii="黑体" w:eastAsia="黑体" w:hAnsi="Times New Roman" w:cs="Times New Roman"/>
      <w:kern w:val="44"/>
      <w:sz w:val="32"/>
      <w:szCs w:val="20"/>
    </w:rPr>
  </w:style>
  <w:style w:type="character" w:customStyle="1" w:styleId="1Char1">
    <w:name w:val="标题 1 Char1"/>
    <w:basedOn w:val="a0"/>
    <w:qFormat/>
    <w:rsid w:val="00E55AFB"/>
    <w:rPr>
      <w:rFonts w:eastAsia="宋体" w:cs="Times New Roman"/>
      <w:b/>
      <w:bCs/>
      <w:kern w:val="44"/>
      <w:sz w:val="44"/>
      <w:szCs w:val="44"/>
    </w:rPr>
  </w:style>
  <w:style w:type="character" w:customStyle="1" w:styleId="af4">
    <w:name w:val="脚注文本 字符"/>
    <w:basedOn w:val="a0"/>
    <w:link w:val="af3"/>
    <w:semiHidden/>
    <w:rsid w:val="00E55AFB"/>
    <w:rPr>
      <w:rFonts w:ascii="Times New Roman" w:eastAsia="宋体" w:hAnsi="Times New Roman" w:cs="Times New Roman"/>
      <w:sz w:val="18"/>
      <w:szCs w:val="18"/>
    </w:rPr>
  </w:style>
  <w:style w:type="character" w:customStyle="1" w:styleId="Char1">
    <w:name w:val="批注文字 Char1"/>
    <w:basedOn w:val="a0"/>
    <w:semiHidden/>
    <w:locked/>
    <w:rsid w:val="00E55AFB"/>
    <w:rPr>
      <w:rFonts w:ascii="Times New Roman" w:eastAsia="宋体" w:hAnsi="Times New Roman" w:cs="Times New Roman"/>
      <w:szCs w:val="24"/>
    </w:rPr>
  </w:style>
  <w:style w:type="character" w:customStyle="1" w:styleId="a4">
    <w:name w:val="批注文字 字符"/>
    <w:basedOn w:val="a0"/>
    <w:link w:val="a3"/>
    <w:semiHidden/>
    <w:rsid w:val="00E55AFB"/>
    <w:rPr>
      <w:rFonts w:ascii="Times New Roman" w:eastAsia="宋体" w:hAnsi="Times New Roman" w:cs="Times New Roman"/>
      <w:szCs w:val="20"/>
    </w:rPr>
  </w:style>
  <w:style w:type="character" w:customStyle="1" w:styleId="af2">
    <w:name w:val="页眉 字符"/>
    <w:basedOn w:val="a0"/>
    <w:link w:val="af1"/>
    <w:uiPriority w:val="99"/>
    <w:rsid w:val="00E55AFB"/>
    <w:rPr>
      <w:rFonts w:ascii="Times New Roman" w:eastAsia="宋体" w:hAnsi="Times New Roman" w:cs="Times New Roman"/>
      <w:sz w:val="18"/>
      <w:szCs w:val="18"/>
    </w:rPr>
  </w:style>
  <w:style w:type="character" w:customStyle="1" w:styleId="af0">
    <w:name w:val="页脚 字符"/>
    <w:basedOn w:val="a0"/>
    <w:link w:val="af"/>
    <w:uiPriority w:val="99"/>
    <w:rsid w:val="00E55AFB"/>
    <w:rPr>
      <w:rFonts w:ascii="Times New Roman" w:eastAsia="宋体" w:hAnsi="Times New Roman" w:cs="Times New Roman"/>
      <w:sz w:val="18"/>
      <w:szCs w:val="18"/>
    </w:rPr>
  </w:style>
  <w:style w:type="character" w:customStyle="1" w:styleId="ac">
    <w:name w:val="尾注文本 字符"/>
    <w:basedOn w:val="a0"/>
    <w:link w:val="ab"/>
    <w:semiHidden/>
    <w:rsid w:val="00E55AFB"/>
    <w:rPr>
      <w:rFonts w:ascii="Times New Roman" w:eastAsia="宋体" w:hAnsi="Times New Roman" w:cs="Times New Roman"/>
      <w:szCs w:val="24"/>
    </w:rPr>
  </w:style>
  <w:style w:type="character" w:customStyle="1" w:styleId="a6">
    <w:name w:val="正文文本缩进 字符"/>
    <w:basedOn w:val="a0"/>
    <w:link w:val="a5"/>
    <w:semiHidden/>
    <w:rsid w:val="00E55AFB"/>
    <w:rPr>
      <w:rFonts w:ascii="仿宋_GB2312" w:eastAsia="仿宋_GB2312" w:hAnsi="宋体" w:cs="Times New Roman"/>
      <w:b/>
      <w:bCs/>
      <w:color w:val="000000"/>
      <w:kern w:val="0"/>
      <w:sz w:val="28"/>
      <w:szCs w:val="28"/>
    </w:rPr>
  </w:style>
  <w:style w:type="character" w:customStyle="1" w:styleId="aa">
    <w:name w:val="日期 字符"/>
    <w:basedOn w:val="a0"/>
    <w:link w:val="a9"/>
    <w:semiHidden/>
    <w:rsid w:val="00E55AFB"/>
    <w:rPr>
      <w:rFonts w:ascii="Times New Roman" w:eastAsia="宋体" w:hAnsi="Times New Roman" w:cs="Times New Roman"/>
      <w:sz w:val="30"/>
      <w:szCs w:val="24"/>
    </w:rPr>
  </w:style>
  <w:style w:type="character" w:customStyle="1" w:styleId="20">
    <w:name w:val="正文文本缩进 2 字符"/>
    <w:basedOn w:val="a0"/>
    <w:link w:val="2"/>
    <w:uiPriority w:val="99"/>
    <w:semiHidden/>
    <w:rsid w:val="00E55AFB"/>
    <w:rPr>
      <w:rFonts w:ascii="Times New Roman" w:eastAsia="宋体" w:hAnsi="Times New Roman" w:cs="Times New Roman"/>
      <w:szCs w:val="20"/>
    </w:rPr>
  </w:style>
  <w:style w:type="character" w:customStyle="1" w:styleId="30">
    <w:name w:val="正文文本缩进 3 字符"/>
    <w:basedOn w:val="a0"/>
    <w:link w:val="3"/>
    <w:semiHidden/>
    <w:rsid w:val="00E55AFB"/>
    <w:rPr>
      <w:rFonts w:ascii="Times New Roman" w:eastAsia="宋体" w:hAnsi="Times New Roman" w:cs="Times New Roman"/>
      <w:sz w:val="16"/>
      <w:szCs w:val="16"/>
    </w:rPr>
  </w:style>
  <w:style w:type="character" w:customStyle="1" w:styleId="a8">
    <w:name w:val="纯文本 字符"/>
    <w:basedOn w:val="a0"/>
    <w:link w:val="a7"/>
    <w:uiPriority w:val="99"/>
    <w:rsid w:val="00E55AFB"/>
    <w:rPr>
      <w:rFonts w:ascii="宋体" w:eastAsia="仿宋_GB2312" w:hAnsi="Courier New" w:cs="Courier New"/>
      <w:sz w:val="32"/>
      <w:szCs w:val="21"/>
    </w:rPr>
  </w:style>
  <w:style w:type="character" w:customStyle="1" w:styleId="Char10">
    <w:name w:val="批注主题 Char1"/>
    <w:basedOn w:val="Char1"/>
    <w:semiHidden/>
    <w:qFormat/>
    <w:locked/>
    <w:rsid w:val="00E55AFB"/>
    <w:rPr>
      <w:rFonts w:ascii="Times New Roman" w:eastAsia="宋体" w:hAnsi="Times New Roman" w:cs="Times New Roman"/>
      <w:b/>
      <w:bCs/>
      <w:szCs w:val="24"/>
    </w:rPr>
  </w:style>
  <w:style w:type="character" w:customStyle="1" w:styleId="af6">
    <w:name w:val="批注主题 字符"/>
    <w:basedOn w:val="a4"/>
    <w:link w:val="af5"/>
    <w:semiHidden/>
    <w:rsid w:val="00E55AFB"/>
    <w:rPr>
      <w:rFonts w:ascii="Times New Roman" w:eastAsia="宋体" w:hAnsi="Times New Roman" w:cs="Times New Roman"/>
      <w:b/>
      <w:bCs/>
      <w:szCs w:val="20"/>
    </w:rPr>
  </w:style>
  <w:style w:type="character" w:customStyle="1" w:styleId="ae">
    <w:name w:val="批注框文本 字符"/>
    <w:basedOn w:val="a0"/>
    <w:link w:val="ad"/>
    <w:uiPriority w:val="99"/>
    <w:semiHidden/>
    <w:rsid w:val="00E55AFB"/>
    <w:rPr>
      <w:rFonts w:ascii="Times New Roman" w:eastAsia="宋体" w:hAnsi="Times New Roman" w:cs="Times New Roman"/>
      <w:sz w:val="18"/>
      <w:szCs w:val="18"/>
    </w:rPr>
  </w:style>
  <w:style w:type="paragraph" w:styleId="af9">
    <w:name w:val="List Paragraph"/>
    <w:basedOn w:val="a"/>
    <w:uiPriority w:val="34"/>
    <w:qFormat/>
    <w:rsid w:val="00E55AFB"/>
    <w:pPr>
      <w:ind w:firstLineChars="200" w:firstLine="420"/>
    </w:pPr>
    <w:rPr>
      <w:szCs w:val="24"/>
    </w:rPr>
  </w:style>
  <w:style w:type="paragraph" w:customStyle="1" w:styleId="Default">
    <w:name w:val="Default"/>
    <w:rsid w:val="00E55AFB"/>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Char">
    <w:name w:val="Char"/>
    <w:basedOn w:val="a"/>
    <w:rsid w:val="00E55AFB"/>
    <w:rPr>
      <w:szCs w:val="24"/>
    </w:rPr>
  </w:style>
  <w:style w:type="character" w:customStyle="1" w:styleId="apple-style-span">
    <w:name w:val="apple-style-span"/>
    <w:basedOn w:val="a0"/>
    <w:rsid w:val="00E55AFB"/>
  </w:style>
  <w:style w:type="character" w:customStyle="1" w:styleId="Char11">
    <w:name w:val="纯文本 Char1"/>
    <w:basedOn w:val="a0"/>
    <w:semiHidden/>
    <w:locked/>
    <w:rsid w:val="00E55AFB"/>
    <w:rPr>
      <w:rFonts w:ascii="宋体" w:eastAsia="仿宋_GB2312" w:hAnsi="Courier New" w:cs="Courier New"/>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DCAA65-F9F1-4260-9A12-331EF259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900</Words>
  <Characters>5131</Characters>
  <Application>Microsoft Office Word</Application>
  <DocSecurity>0</DocSecurity>
  <Lines>42</Lines>
  <Paragraphs>12</Paragraphs>
  <ScaleCrop>false</ScaleCrop>
  <Company>d</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林枢</dc:creator>
  <cp:lastModifiedBy>TN</cp:lastModifiedBy>
  <cp:revision>47</cp:revision>
  <cp:lastPrinted>2022-02-28T09:03:00Z</cp:lastPrinted>
  <dcterms:created xsi:type="dcterms:W3CDTF">2023-08-01T16:55:00Z</dcterms:created>
  <dcterms:modified xsi:type="dcterms:W3CDTF">2023-08-03T08:11:00Z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