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8EE2" w14:textId="2CE86C19" w:rsidR="00DA1480" w:rsidRPr="001278E0" w:rsidRDefault="00DA1480" w:rsidP="00DA1480">
      <w:pPr>
        <w:spacing w:line="400" w:lineRule="exac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Announcement Code: TEMP 202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3-026</w:t>
      </w: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 </w:t>
      </w:r>
    </w:p>
    <w:p w14:paraId="1EEB3CC9" w14:textId="77777777" w:rsidR="00DA1480" w:rsidRPr="001278E0" w:rsidRDefault="00DA1480" w:rsidP="00DA1480">
      <w:pPr>
        <w:spacing w:line="400" w:lineRule="exac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Code of A Share: 601166            Abbreviation of A Share: Industrial Bank</w:t>
      </w:r>
    </w:p>
    <w:p w14:paraId="4187A5D7" w14:textId="77777777" w:rsidR="00DA1480" w:rsidRPr="001278E0" w:rsidRDefault="00DA1480" w:rsidP="00DA1480">
      <w:pPr>
        <w:spacing w:line="400" w:lineRule="exac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Code of Preferred Stock: 360005, 360012, 360032     Abbreviation of Preferred Stock: Industrial Preferred 1, Industrial Preferred 2, Industrial Preferred 3</w:t>
      </w:r>
    </w:p>
    <w:p w14:paraId="0BF1F323" w14:textId="77777777" w:rsidR="00DA1480" w:rsidRPr="001278E0" w:rsidRDefault="00DA1480" w:rsidP="00DA1480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Code of Convertible Bonds:</w:t>
      </w:r>
      <w:proofErr w:type="gramStart"/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>113052  Abbreviation</w:t>
      </w:r>
      <w:proofErr w:type="gramEnd"/>
      <w:r w:rsidRPr="001278E0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of Convertible Bonds: Industrial Convertible Bonds</w:t>
      </w:r>
    </w:p>
    <w:p w14:paraId="5333EF7C" w14:textId="5C094ADF" w:rsidR="00754F26" w:rsidRPr="00DA1480" w:rsidRDefault="00754F26">
      <w:pPr>
        <w:spacing w:line="369" w:lineRule="exact"/>
        <w:ind w:left="102"/>
        <w:rPr>
          <w:rFonts w:ascii="Times New Roman" w:hAnsi="Times New Roman" w:cs="Times New Roman"/>
          <w:b/>
          <w:sz w:val="24"/>
        </w:rPr>
      </w:pPr>
    </w:p>
    <w:p w14:paraId="42869961" w14:textId="77777777" w:rsidR="00DA1480" w:rsidRDefault="00DA1480" w:rsidP="00DA1480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1278E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Industrial Bank Co., Ltd.</w:t>
      </w:r>
    </w:p>
    <w:p w14:paraId="47439E55" w14:textId="6729AF00" w:rsidR="00DA1480" w:rsidRDefault="00DA1480" w:rsidP="00DA1480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DA148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 xml:space="preserve">Announcement on 2023 </w:t>
      </w:r>
      <w:r w:rsidR="001B791A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Follow-up</w:t>
      </w:r>
      <w:r w:rsidRPr="00DA148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 xml:space="preserve"> Rating </w:t>
      </w:r>
    </w:p>
    <w:p w14:paraId="72385068" w14:textId="40B6FE39" w:rsidR="00DA1480" w:rsidRPr="00DA1480" w:rsidRDefault="00DA1480" w:rsidP="00DA1480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DA148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Results of A-share Convertible Corporate Bonds</w:t>
      </w:r>
    </w:p>
    <w:p w14:paraId="2CAB16FA" w14:textId="77777777" w:rsidR="00754F26" w:rsidRPr="00DA1480" w:rsidRDefault="00754F26">
      <w:pPr>
        <w:pStyle w:val="a3"/>
        <w:spacing w:before="8"/>
        <w:ind w:left="0"/>
        <w:rPr>
          <w:rFonts w:ascii="Times New Roman" w:hAnsi="Times New Roman" w:cs="Times New Roman"/>
          <w:sz w:val="33"/>
        </w:rPr>
      </w:pPr>
    </w:p>
    <w:p w14:paraId="3A9D4E6F" w14:textId="58A7F02E" w:rsidR="00754F26" w:rsidRPr="00DA1480" w:rsidRDefault="00DA1480">
      <w:pPr>
        <w:pStyle w:val="a3"/>
        <w:spacing w:line="364" w:lineRule="auto"/>
        <w:ind w:right="246" w:firstLine="479"/>
        <w:rPr>
          <w:rFonts w:ascii="Times New Roman" w:hAnsi="Times New Roman" w:cs="Times New Roman"/>
        </w:rPr>
      </w:pPr>
      <w:r w:rsidRPr="00DA1480">
        <w:rPr>
          <w:rFonts w:ascii="Times New Roman" w:hAnsi="Times New Roman" w:cs="Times New Roman"/>
        </w:rPr>
        <w:t xml:space="preserve">The Board of Directors of the Company and all directors guarantee there’s no false account, misleading </w:t>
      </w:r>
      <w:proofErr w:type="gramStart"/>
      <w:r w:rsidRPr="00DA1480">
        <w:rPr>
          <w:rFonts w:ascii="Times New Roman" w:hAnsi="Times New Roman" w:cs="Times New Roman"/>
        </w:rPr>
        <w:t>statement</w:t>
      </w:r>
      <w:proofErr w:type="gramEnd"/>
      <w:r w:rsidRPr="00DA1480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announcement.</w:t>
      </w:r>
    </w:p>
    <w:p w14:paraId="3FD6DB74" w14:textId="77777777" w:rsidR="00754F26" w:rsidRPr="00DA1480" w:rsidRDefault="00000000">
      <w:pPr>
        <w:pStyle w:val="a3"/>
        <w:spacing w:before="1"/>
        <w:rPr>
          <w:rFonts w:ascii="Times New Roman" w:hAnsi="Times New Roman" w:cs="Times New Roman"/>
        </w:rPr>
      </w:pPr>
      <w:r w:rsidRPr="00DA1480">
        <w:rPr>
          <w:rFonts w:ascii="Times New Roman" w:hAnsi="Times New Roman" w:cs="Times New Roman"/>
        </w:rPr>
        <w:t xml:space="preserve"> </w:t>
      </w:r>
    </w:p>
    <w:p w14:paraId="30ADD6E5" w14:textId="4091A934" w:rsidR="00754F26" w:rsidRPr="00DA1480" w:rsidRDefault="00DA1480">
      <w:pPr>
        <w:spacing w:before="12"/>
        <w:ind w:left="584"/>
        <w:rPr>
          <w:rFonts w:ascii="Times New Roman" w:eastAsia="Microsoft JhengHei" w:hAnsi="Times New Roman" w:cs="Times New Roman"/>
          <w:b/>
          <w:sz w:val="24"/>
        </w:rPr>
      </w:pPr>
      <w:r>
        <w:rPr>
          <w:rFonts w:ascii="Times New Roman" w:eastAsia="Microsoft JhengHei" w:hAnsi="Times New Roman" w:cs="Times New Roman" w:hint="eastAsia"/>
          <w:b/>
          <w:sz w:val="24"/>
        </w:rPr>
        <w:t>I</w:t>
      </w:r>
      <w:r>
        <w:rPr>
          <w:rFonts w:ascii="Times New Roman" w:eastAsia="Microsoft JhengHei" w:hAnsi="Times New Roman" w:cs="Times New Roman"/>
          <w:b/>
          <w:sz w:val="24"/>
        </w:rPr>
        <w:t>mportant Notes:</w:t>
      </w:r>
      <w:r w:rsidRPr="00DA1480">
        <w:rPr>
          <w:rFonts w:ascii="Times New Roman" w:eastAsia="Microsoft JhengHei" w:hAnsi="Times New Roman" w:cs="Times New Roman"/>
          <w:b/>
          <w:w w:val="200"/>
          <w:sz w:val="24"/>
        </w:rPr>
        <w:t xml:space="preserve"> </w:t>
      </w:r>
    </w:p>
    <w:p w14:paraId="0AA52B40" w14:textId="5DE0EFEA" w:rsidR="00D769DB" w:rsidRPr="00DA1480" w:rsidRDefault="00D769DB">
      <w:pPr>
        <w:pStyle w:val="a5"/>
        <w:numPr>
          <w:ilvl w:val="0"/>
          <w:numId w:val="1"/>
        </w:numPr>
        <w:tabs>
          <w:tab w:val="left" w:pos="942"/>
        </w:tabs>
        <w:ind w:left="942" w:hanging="3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</w:t>
      </w:r>
      <w:r w:rsidR="001B791A">
        <w:rPr>
          <w:rFonts w:ascii="Times New Roman" w:hAnsi="Times New Roman" w:cs="Times New Roman"/>
          <w:sz w:val="24"/>
        </w:rPr>
        <w:t>rior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issu</w:t>
      </w:r>
      <w:r>
        <w:rPr>
          <w:rFonts w:ascii="Times New Roman" w:hAnsi="Times New Roman" w:cs="Times New Roman"/>
          <w:sz w:val="24"/>
        </w:rPr>
        <w:t>e credit rating: AAA, issuer credit rating: AAA, outlook: stable.</w:t>
      </w:r>
    </w:p>
    <w:p w14:paraId="47A4BC21" w14:textId="1F549262" w:rsidR="00D769DB" w:rsidRPr="00D769DB" w:rsidRDefault="00D769DB" w:rsidP="00D769DB">
      <w:pPr>
        <w:pStyle w:val="a5"/>
        <w:numPr>
          <w:ilvl w:val="0"/>
          <w:numId w:val="1"/>
        </w:numPr>
        <w:tabs>
          <w:tab w:val="left" w:pos="942"/>
        </w:tabs>
        <w:ind w:left="942" w:hanging="3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</w:t>
      </w:r>
      <w:r>
        <w:rPr>
          <w:rFonts w:ascii="Times New Roman" w:hAnsi="Times New Roman" w:cs="Times New Roman" w:hint="eastAsia"/>
          <w:sz w:val="24"/>
        </w:rPr>
        <w:t>issu</w:t>
      </w:r>
      <w:r>
        <w:rPr>
          <w:rFonts w:ascii="Times New Roman" w:hAnsi="Times New Roman" w:cs="Times New Roman"/>
          <w:sz w:val="24"/>
        </w:rPr>
        <w:t>e credit rating: AAA, issuer credit rating: AAA, outlook: stable.</w:t>
      </w:r>
    </w:p>
    <w:p w14:paraId="59DD51F8" w14:textId="0CDED9B5" w:rsidR="00D769DB" w:rsidRPr="00DA1480" w:rsidRDefault="00D769DB">
      <w:pPr>
        <w:pStyle w:val="a5"/>
        <w:numPr>
          <w:ilvl w:val="0"/>
          <w:numId w:val="1"/>
        </w:numPr>
        <w:tabs>
          <w:tab w:val="left" w:pos="942"/>
        </w:tabs>
        <w:spacing w:before="161" w:line="364" w:lineRule="auto"/>
        <w:ind w:left="1001" w:right="237" w:hanging="420"/>
        <w:rPr>
          <w:rFonts w:ascii="Times New Roman" w:hAnsi="Times New Roman" w:cs="Times New Roman"/>
          <w:sz w:val="24"/>
        </w:rPr>
      </w:pPr>
      <w:r w:rsidRPr="00D769DB">
        <w:rPr>
          <w:rFonts w:ascii="Times New Roman" w:hAnsi="Times New Roman" w:cs="Times New Roman"/>
          <w:sz w:val="24"/>
        </w:rPr>
        <w:t xml:space="preserve">Following the </w:t>
      </w:r>
      <w:r>
        <w:rPr>
          <w:rFonts w:ascii="Times New Roman" w:hAnsi="Times New Roman" w:cs="Times New Roman" w:hint="eastAsia"/>
          <w:sz w:val="24"/>
        </w:rPr>
        <w:t>rati</w:t>
      </w:r>
      <w:r>
        <w:rPr>
          <w:rFonts w:ascii="Times New Roman" w:hAnsi="Times New Roman" w:cs="Times New Roman"/>
          <w:sz w:val="24"/>
        </w:rPr>
        <w:t>ng results</w:t>
      </w:r>
      <w:r w:rsidRPr="00D769DB">
        <w:rPr>
          <w:rFonts w:ascii="Times New Roman" w:hAnsi="Times New Roman" w:cs="Times New Roman"/>
          <w:sz w:val="24"/>
        </w:rPr>
        <w:t xml:space="preserve">, the A-share convertible corporate bonds (hereinafter referred to as </w:t>
      </w:r>
      <w:r>
        <w:rPr>
          <w:rFonts w:ascii="Times New Roman" w:hAnsi="Times New Roman" w:cs="Times New Roman"/>
          <w:sz w:val="24"/>
        </w:rPr>
        <w:t xml:space="preserve">Industrial </w:t>
      </w:r>
      <w:r w:rsidRPr="00D769DB">
        <w:rPr>
          <w:rFonts w:ascii="Times New Roman" w:hAnsi="Times New Roman" w:cs="Times New Roman"/>
          <w:sz w:val="24"/>
        </w:rPr>
        <w:t>Convertible Bonds</w:t>
      </w:r>
      <w:r>
        <w:rPr>
          <w:rFonts w:ascii="Times New Roman" w:hAnsi="Times New Roman" w:cs="Times New Roman"/>
          <w:sz w:val="24"/>
        </w:rPr>
        <w:t>,</w:t>
      </w:r>
      <w:r w:rsidRPr="00D769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</w:t>
      </w:r>
      <w:r w:rsidRPr="00D769DB">
        <w:rPr>
          <w:rFonts w:ascii="Times New Roman" w:hAnsi="Times New Roman" w:cs="Times New Roman"/>
          <w:sz w:val="24"/>
        </w:rPr>
        <w:t xml:space="preserve">ode 113052) issued by </w:t>
      </w:r>
      <w:r>
        <w:rPr>
          <w:rFonts w:ascii="Times New Roman" w:hAnsi="Times New Roman" w:cs="Times New Roman"/>
          <w:sz w:val="24"/>
        </w:rPr>
        <w:t xml:space="preserve">Industrial Bank Co., Ltd </w:t>
      </w:r>
      <w:r w:rsidRPr="00D769DB">
        <w:rPr>
          <w:rFonts w:ascii="Times New Roman" w:hAnsi="Times New Roman" w:cs="Times New Roman"/>
          <w:sz w:val="24"/>
        </w:rPr>
        <w:t>(hereinafter referred to as the Company</w:t>
      </w:r>
      <w:r>
        <w:rPr>
          <w:rFonts w:ascii="Times New Roman" w:hAnsi="Times New Roman" w:cs="Times New Roman"/>
          <w:sz w:val="24"/>
        </w:rPr>
        <w:t>)</w:t>
      </w:r>
      <w:r w:rsidRPr="00D769DB">
        <w:rPr>
          <w:rFonts w:ascii="Times New Roman" w:hAnsi="Times New Roman" w:cs="Times New Roman"/>
          <w:sz w:val="24"/>
        </w:rPr>
        <w:t xml:space="preserve"> remain eligible as pledged </w:t>
      </w:r>
      <w:r w:rsidR="001B791A">
        <w:rPr>
          <w:rFonts w:ascii="Times New Roman" w:hAnsi="Times New Roman" w:cs="Times New Roman"/>
          <w:sz w:val="24"/>
        </w:rPr>
        <w:t>bonds</w:t>
      </w:r>
      <w:r w:rsidRPr="00D769DB">
        <w:rPr>
          <w:rFonts w:ascii="Times New Roman" w:hAnsi="Times New Roman" w:cs="Times New Roman"/>
          <w:sz w:val="24"/>
        </w:rPr>
        <w:t xml:space="preserve"> for bond pledge-</w:t>
      </w:r>
      <w:r w:rsidR="001B791A">
        <w:rPr>
          <w:rFonts w:ascii="Times New Roman" w:hAnsi="Times New Roman" w:cs="Times New Roman"/>
          <w:sz w:val="24"/>
        </w:rPr>
        <w:t>style</w:t>
      </w:r>
      <w:r w:rsidRPr="00D769DB">
        <w:rPr>
          <w:rFonts w:ascii="Times New Roman" w:hAnsi="Times New Roman" w:cs="Times New Roman"/>
          <w:sz w:val="24"/>
        </w:rPr>
        <w:t xml:space="preserve"> r</w:t>
      </w:r>
      <w:r w:rsidR="001B791A">
        <w:rPr>
          <w:rFonts w:ascii="Times New Roman" w:hAnsi="Times New Roman" w:cs="Times New Roman"/>
          <w:sz w:val="24"/>
        </w:rPr>
        <w:t xml:space="preserve">epo </w:t>
      </w:r>
      <w:r w:rsidRPr="00D769DB">
        <w:rPr>
          <w:rFonts w:ascii="Times New Roman" w:hAnsi="Times New Roman" w:cs="Times New Roman"/>
          <w:sz w:val="24"/>
        </w:rPr>
        <w:t>transactions.</w:t>
      </w:r>
    </w:p>
    <w:p w14:paraId="4DA7C649" w14:textId="77777777" w:rsidR="00754F26" w:rsidRPr="00DA1480" w:rsidRDefault="00000000">
      <w:pPr>
        <w:pStyle w:val="a3"/>
        <w:spacing w:before="2"/>
        <w:ind w:left="581"/>
        <w:rPr>
          <w:rFonts w:ascii="Times New Roman" w:hAnsi="Times New Roman" w:cs="Times New Roman"/>
        </w:rPr>
      </w:pPr>
      <w:r w:rsidRPr="00DA1480">
        <w:rPr>
          <w:rFonts w:ascii="Times New Roman" w:hAnsi="Times New Roman" w:cs="Times New Roman"/>
        </w:rPr>
        <w:t xml:space="preserve"> </w:t>
      </w:r>
    </w:p>
    <w:p w14:paraId="3873F5DF" w14:textId="4E69188C" w:rsidR="001B791A" w:rsidRDefault="001B791A">
      <w:pPr>
        <w:pStyle w:val="a3"/>
        <w:spacing w:before="161" w:line="364" w:lineRule="auto"/>
        <w:ind w:right="235" w:firstLine="479"/>
        <w:jc w:val="both"/>
      </w:pPr>
      <w:r w:rsidRPr="001B791A">
        <w:rPr>
          <w:rFonts w:ascii="Times New Roman" w:hAnsi="Times New Roman" w:cs="Times New Roman"/>
        </w:rPr>
        <w:t xml:space="preserve">In compliance with the pertinent provisions outlined in the </w:t>
      </w:r>
      <w:r w:rsidRPr="001B791A">
        <w:rPr>
          <w:rFonts w:ascii="Times New Roman" w:hAnsi="Times New Roman" w:cs="Times New Roman"/>
          <w:i/>
          <w:iCs/>
        </w:rPr>
        <w:t>Administrative Measures for the Registration of Securities Issued by Listed Companies</w:t>
      </w:r>
      <w:r w:rsidRPr="001B791A">
        <w:rPr>
          <w:rFonts w:ascii="Times New Roman" w:hAnsi="Times New Roman" w:cs="Times New Roman"/>
        </w:rPr>
        <w:t xml:space="preserve">, </w:t>
      </w:r>
      <w:r w:rsidRPr="001B791A">
        <w:rPr>
          <w:rFonts w:ascii="Times New Roman" w:hAnsi="Times New Roman" w:cs="Times New Roman"/>
          <w:i/>
          <w:iCs/>
        </w:rPr>
        <w:t>the Rules for Listing of Stocks on the Shanghai Stock Exchange</w:t>
      </w:r>
      <w:r w:rsidRPr="001B791A">
        <w:rPr>
          <w:rFonts w:ascii="Times New Roman" w:hAnsi="Times New Roman" w:cs="Times New Roman"/>
        </w:rPr>
        <w:t xml:space="preserve">, and </w:t>
      </w:r>
      <w:r w:rsidRPr="001B791A">
        <w:rPr>
          <w:rFonts w:ascii="Times New Roman" w:hAnsi="Times New Roman" w:cs="Times New Roman"/>
          <w:i/>
          <w:iCs/>
        </w:rPr>
        <w:t>the Administrative Measures for the Issuance and Trading of Corporate Bonds</w:t>
      </w:r>
      <w:r w:rsidRPr="001B791A">
        <w:rPr>
          <w:rFonts w:ascii="Times New Roman" w:hAnsi="Times New Roman" w:cs="Times New Roman"/>
        </w:rPr>
        <w:t xml:space="preserve">, the Company engaged the services of the credit rating agency, Shanghai </w:t>
      </w:r>
      <w:r>
        <w:rPr>
          <w:rFonts w:ascii="Times New Roman" w:hAnsi="Times New Roman" w:cs="Times New Roman"/>
        </w:rPr>
        <w:t>Brilliance</w:t>
      </w:r>
      <w:r w:rsidRPr="001B791A">
        <w:rPr>
          <w:rFonts w:ascii="Times New Roman" w:hAnsi="Times New Roman" w:cs="Times New Roman"/>
        </w:rPr>
        <w:t xml:space="preserve"> Credit </w:t>
      </w:r>
      <w:r>
        <w:rPr>
          <w:rFonts w:ascii="Times New Roman" w:hAnsi="Times New Roman" w:cs="Times New Roman"/>
        </w:rPr>
        <w:t>Rating</w:t>
      </w:r>
      <w:r w:rsidRPr="001B791A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Investor</w:t>
      </w:r>
      <w:r w:rsidRPr="001B791A">
        <w:rPr>
          <w:rFonts w:ascii="Times New Roman" w:hAnsi="Times New Roman" w:cs="Times New Roman"/>
        </w:rPr>
        <w:t xml:space="preserve"> Services </w:t>
      </w:r>
      <w:r>
        <w:rPr>
          <w:rFonts w:ascii="Times New Roman" w:hAnsi="Times New Roman" w:cs="Times New Roman"/>
        </w:rPr>
        <w:t>Co., Ltd</w:t>
      </w:r>
      <w:r w:rsidRPr="001B791A">
        <w:rPr>
          <w:rFonts w:ascii="Times New Roman" w:hAnsi="Times New Roman" w:cs="Times New Roman"/>
        </w:rPr>
        <w:t xml:space="preserve"> (hereinafter referred to as </w:t>
      </w:r>
      <w:r>
        <w:rPr>
          <w:rFonts w:ascii="Times New Roman" w:hAnsi="Times New Roman" w:cs="Times New Roman"/>
        </w:rPr>
        <w:t>Shanghai Brilliance</w:t>
      </w:r>
      <w:r w:rsidRPr="001B791A">
        <w:rPr>
          <w:rFonts w:ascii="Times New Roman" w:hAnsi="Times New Roman" w:cs="Times New Roman"/>
        </w:rPr>
        <w:t xml:space="preserve">), to conduct a follow-up credit rating on the </w:t>
      </w:r>
      <w:r>
        <w:rPr>
          <w:rFonts w:ascii="Times New Roman" w:hAnsi="Times New Roman" w:cs="Times New Roman"/>
        </w:rPr>
        <w:t xml:space="preserve">Industrial </w:t>
      </w:r>
      <w:r w:rsidRPr="001B791A">
        <w:rPr>
          <w:rFonts w:ascii="Times New Roman" w:hAnsi="Times New Roman" w:cs="Times New Roman"/>
        </w:rPr>
        <w:t>Convertible Bonds issued by the Company in December 2021.</w:t>
      </w:r>
      <w:r w:rsidRPr="001B791A">
        <w:t xml:space="preserve"> </w:t>
      </w:r>
    </w:p>
    <w:p w14:paraId="765399B1" w14:textId="33E15144" w:rsidR="00F53F49" w:rsidRDefault="001B791A" w:rsidP="00F53F49">
      <w:pPr>
        <w:pStyle w:val="a3"/>
        <w:spacing w:before="161" w:line="364" w:lineRule="auto"/>
        <w:ind w:right="235" w:firstLine="479"/>
        <w:jc w:val="both"/>
      </w:pPr>
      <w:r>
        <w:rPr>
          <w:rFonts w:ascii="Times New Roman" w:hAnsi="Times New Roman" w:cs="Times New Roman"/>
        </w:rPr>
        <w:t>The</w:t>
      </w:r>
      <w:r w:rsidRPr="001B791A">
        <w:rPr>
          <w:rFonts w:ascii="Times New Roman" w:hAnsi="Times New Roman" w:cs="Times New Roman"/>
        </w:rPr>
        <w:t xml:space="preserve"> Company</w:t>
      </w:r>
      <w:r w:rsidR="006B7E09">
        <w:rPr>
          <w:rFonts w:ascii="Times New Roman" w:hAnsi="Times New Roman" w:cs="Times New Roman"/>
        </w:rPr>
        <w:t xml:space="preserve"> held a</w:t>
      </w:r>
      <w:r w:rsidRPr="001B791A">
        <w:rPr>
          <w:rFonts w:ascii="Times New Roman" w:hAnsi="Times New Roman" w:cs="Times New Roman"/>
        </w:rPr>
        <w:t xml:space="preserve"> prior </w:t>
      </w:r>
      <w:r>
        <w:rPr>
          <w:rFonts w:ascii="Times New Roman" w:hAnsi="Times New Roman" w:cs="Times New Roman"/>
        </w:rPr>
        <w:t>issuer</w:t>
      </w:r>
      <w:r w:rsidRPr="001B791A">
        <w:rPr>
          <w:rFonts w:ascii="Times New Roman" w:hAnsi="Times New Roman" w:cs="Times New Roman"/>
        </w:rPr>
        <w:t xml:space="preserve"> credit rating</w:t>
      </w:r>
      <w:r>
        <w:rPr>
          <w:rFonts w:ascii="Times New Roman" w:hAnsi="Times New Roman" w:cs="Times New Roman"/>
        </w:rPr>
        <w:t xml:space="preserve"> </w:t>
      </w:r>
      <w:r w:rsidR="006B7E09">
        <w:rPr>
          <w:rFonts w:ascii="Times New Roman" w:hAnsi="Times New Roman" w:cs="Times New Roman"/>
        </w:rPr>
        <w:t>of</w:t>
      </w:r>
      <w:r w:rsidRPr="001B791A">
        <w:rPr>
          <w:rFonts w:ascii="Times New Roman" w:hAnsi="Times New Roman" w:cs="Times New Roman"/>
        </w:rPr>
        <w:t xml:space="preserve"> AAA, and the previous </w:t>
      </w:r>
      <w:r>
        <w:rPr>
          <w:rFonts w:ascii="Times New Roman" w:hAnsi="Times New Roman" w:cs="Times New Roman"/>
        </w:rPr>
        <w:t xml:space="preserve">issue </w:t>
      </w:r>
      <w:r w:rsidRPr="001B791A">
        <w:rPr>
          <w:rFonts w:ascii="Times New Roman" w:hAnsi="Times New Roman" w:cs="Times New Roman"/>
        </w:rPr>
        <w:t xml:space="preserve">credit rating for </w:t>
      </w:r>
      <w:r w:rsidR="007D02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ndustrial </w:t>
      </w:r>
      <w:r w:rsidRPr="001B791A">
        <w:rPr>
          <w:rFonts w:ascii="Times New Roman" w:hAnsi="Times New Roman" w:cs="Times New Roman"/>
        </w:rPr>
        <w:t>Convertible Bond</w:t>
      </w:r>
      <w:r>
        <w:rPr>
          <w:rFonts w:ascii="Times New Roman" w:hAnsi="Times New Roman" w:cs="Times New Roman"/>
        </w:rPr>
        <w:t>s</w:t>
      </w:r>
      <w:r w:rsidRPr="001B791A">
        <w:rPr>
          <w:rFonts w:ascii="Times New Roman" w:hAnsi="Times New Roman" w:cs="Times New Roman"/>
        </w:rPr>
        <w:t xml:space="preserve"> was also AAA. </w:t>
      </w:r>
      <w:r w:rsidR="006B7E09">
        <w:rPr>
          <w:rFonts w:ascii="Times New Roman" w:hAnsi="Times New Roman" w:cs="Times New Roman"/>
        </w:rPr>
        <w:t>During that time, the</w:t>
      </w:r>
      <w:r w:rsidRPr="001B791A">
        <w:rPr>
          <w:rFonts w:ascii="Times New Roman" w:hAnsi="Times New Roman" w:cs="Times New Roman"/>
        </w:rPr>
        <w:t xml:space="preserve"> rating outlook was assessed as </w:t>
      </w:r>
      <w:r w:rsidR="006B7E09">
        <w:rPr>
          <w:rFonts w:ascii="Times New Roman" w:hAnsi="Times New Roman" w:cs="Times New Roman"/>
        </w:rPr>
        <w:t>s</w:t>
      </w:r>
      <w:r w:rsidRPr="001B791A">
        <w:rPr>
          <w:rFonts w:ascii="Times New Roman" w:hAnsi="Times New Roman" w:cs="Times New Roman"/>
        </w:rPr>
        <w:t xml:space="preserve">table, </w:t>
      </w:r>
      <w:r w:rsidR="00732BD6">
        <w:rPr>
          <w:rFonts w:ascii="Times New Roman" w:hAnsi="Times New Roman" w:cs="Times New Roman"/>
        </w:rPr>
        <w:t>which</w:t>
      </w:r>
      <w:r w:rsidRPr="001B791A">
        <w:rPr>
          <w:rFonts w:ascii="Times New Roman" w:hAnsi="Times New Roman" w:cs="Times New Roman"/>
        </w:rPr>
        <w:t xml:space="preserve"> was</w:t>
      </w:r>
      <w:r w:rsidR="006B7E09">
        <w:rPr>
          <w:rFonts w:ascii="Times New Roman" w:hAnsi="Times New Roman" w:cs="Times New Roman"/>
        </w:rPr>
        <w:t xml:space="preserve"> conducted by</w:t>
      </w:r>
      <w:r w:rsidRPr="001B791A">
        <w:rPr>
          <w:rFonts w:ascii="Times New Roman" w:hAnsi="Times New Roman" w:cs="Times New Roman"/>
        </w:rPr>
        <w:t xml:space="preserve"> Shanghai </w:t>
      </w:r>
      <w:r w:rsidR="006B7E09">
        <w:rPr>
          <w:rFonts w:ascii="Times New Roman" w:hAnsi="Times New Roman" w:cs="Times New Roman"/>
        </w:rPr>
        <w:t>Brilliance</w:t>
      </w:r>
      <w:r w:rsidRPr="001B791A">
        <w:rPr>
          <w:rFonts w:ascii="Times New Roman" w:hAnsi="Times New Roman" w:cs="Times New Roman"/>
        </w:rPr>
        <w:t>. The</w:t>
      </w:r>
      <w:r w:rsidR="006B7E09">
        <w:rPr>
          <w:rFonts w:ascii="Times New Roman" w:hAnsi="Times New Roman" w:cs="Times New Roman"/>
        </w:rPr>
        <w:t>se</w:t>
      </w:r>
      <w:r w:rsidRPr="001B791A">
        <w:rPr>
          <w:rFonts w:ascii="Times New Roman" w:hAnsi="Times New Roman" w:cs="Times New Roman"/>
        </w:rPr>
        <w:t xml:space="preserve"> credit </w:t>
      </w:r>
      <w:r w:rsidRPr="001B791A">
        <w:rPr>
          <w:rFonts w:ascii="Times New Roman" w:hAnsi="Times New Roman" w:cs="Times New Roman"/>
        </w:rPr>
        <w:lastRenderedPageBreak/>
        <w:t xml:space="preserve">ratings were conducted </w:t>
      </w:r>
      <w:r w:rsidR="00732BD6" w:rsidRPr="001B791A">
        <w:rPr>
          <w:rFonts w:ascii="Times New Roman" w:hAnsi="Times New Roman" w:cs="Times New Roman"/>
        </w:rPr>
        <w:t>on</w:t>
      </w:r>
      <w:r w:rsidRPr="001B791A">
        <w:rPr>
          <w:rFonts w:ascii="Times New Roman" w:hAnsi="Times New Roman" w:cs="Times New Roman"/>
        </w:rPr>
        <w:t xml:space="preserve"> May</w:t>
      </w:r>
      <w:r w:rsidR="007D1382">
        <w:rPr>
          <w:rFonts w:ascii="Times New Roman" w:hAnsi="Times New Roman" w:cs="Times New Roman"/>
        </w:rPr>
        <w:t xml:space="preserve"> 20,</w:t>
      </w:r>
      <w:r w:rsidRPr="001B791A">
        <w:rPr>
          <w:rFonts w:ascii="Times New Roman" w:hAnsi="Times New Roman" w:cs="Times New Roman"/>
        </w:rPr>
        <w:t xml:space="preserve"> 202</w:t>
      </w:r>
      <w:r w:rsidR="006B7E09">
        <w:rPr>
          <w:rFonts w:ascii="Times New Roman" w:hAnsi="Times New Roman" w:cs="Times New Roman"/>
        </w:rPr>
        <w:t>2</w:t>
      </w:r>
      <w:r w:rsidRPr="001B791A">
        <w:rPr>
          <w:rFonts w:ascii="Times New Roman" w:hAnsi="Times New Roman" w:cs="Times New Roman"/>
        </w:rPr>
        <w:t>.</w:t>
      </w:r>
      <w:r w:rsidR="00F53F49" w:rsidRPr="00F53F49">
        <w:t xml:space="preserve"> </w:t>
      </w:r>
    </w:p>
    <w:p w14:paraId="4C2922EE" w14:textId="11CC7DB1" w:rsidR="00F53F49" w:rsidRPr="00F53F49" w:rsidRDefault="00F53F49" w:rsidP="00F53F49">
      <w:pPr>
        <w:pStyle w:val="a3"/>
        <w:spacing w:before="161" w:line="364" w:lineRule="auto"/>
        <w:ind w:right="235" w:firstLine="479"/>
        <w:jc w:val="both"/>
        <w:rPr>
          <w:rFonts w:ascii="Times New Roman" w:hAnsi="Times New Roman" w:cs="Times New Roman"/>
        </w:rPr>
      </w:pPr>
      <w:r w:rsidRPr="00F53F49">
        <w:rPr>
          <w:rFonts w:ascii="Times New Roman" w:hAnsi="Times New Roman" w:cs="Times New Roman"/>
        </w:rPr>
        <w:t xml:space="preserve">On May 15, 2023, </w:t>
      </w:r>
      <w:r>
        <w:rPr>
          <w:rFonts w:ascii="Times New Roman" w:hAnsi="Times New Roman" w:cs="Times New Roman"/>
        </w:rPr>
        <w:t xml:space="preserve">the rating agency </w:t>
      </w:r>
      <w:r w:rsidRPr="00F53F49">
        <w:rPr>
          <w:rFonts w:ascii="Times New Roman" w:hAnsi="Times New Roman" w:cs="Times New Roman"/>
        </w:rPr>
        <w:t xml:space="preserve">Shanghai </w:t>
      </w:r>
      <w:r>
        <w:rPr>
          <w:rFonts w:ascii="Times New Roman" w:hAnsi="Times New Roman" w:cs="Times New Roman"/>
        </w:rPr>
        <w:t xml:space="preserve">Brilliance </w:t>
      </w:r>
      <w:r w:rsidRPr="00F53F49">
        <w:rPr>
          <w:rFonts w:ascii="Times New Roman" w:hAnsi="Times New Roman" w:cs="Times New Roman"/>
        </w:rPr>
        <w:t xml:space="preserve">released the </w:t>
      </w:r>
      <w:r w:rsidRPr="00F53F49">
        <w:rPr>
          <w:rFonts w:ascii="Times New Roman" w:hAnsi="Times New Roman" w:cs="Times New Roman"/>
          <w:i/>
          <w:iCs/>
        </w:rPr>
        <w:t xml:space="preserve">Follow-up Rating Report of Industrial Bank Co., </w:t>
      </w:r>
      <w:proofErr w:type="gramStart"/>
      <w:r w:rsidRPr="00F53F49">
        <w:rPr>
          <w:rFonts w:ascii="Times New Roman" w:hAnsi="Times New Roman" w:cs="Times New Roman"/>
          <w:i/>
          <w:iCs/>
        </w:rPr>
        <w:t>Ltd.</w:t>
      </w:r>
      <w:proofErr w:type="gramEnd"/>
      <w:r w:rsidRPr="00F53F49">
        <w:rPr>
          <w:rFonts w:ascii="Times New Roman" w:hAnsi="Times New Roman" w:cs="Times New Roman"/>
          <w:i/>
          <w:iCs/>
        </w:rPr>
        <w:t xml:space="preserve"> and the Public Bonds Issued by </w:t>
      </w:r>
      <w:r w:rsidR="00732BD6">
        <w:rPr>
          <w:rFonts w:ascii="Times New Roman" w:hAnsi="Times New Roman" w:cs="Times New Roman"/>
          <w:i/>
          <w:iCs/>
        </w:rPr>
        <w:t>the Bank</w:t>
      </w:r>
      <w:r w:rsidRPr="00F53F49">
        <w:rPr>
          <w:rFonts w:ascii="Times New Roman" w:hAnsi="Times New Roman" w:cs="Times New Roman"/>
        </w:rPr>
        <w:t xml:space="preserve"> (hereinafter referred to as the </w:t>
      </w:r>
      <w:r>
        <w:rPr>
          <w:rFonts w:ascii="Times New Roman" w:hAnsi="Times New Roman" w:cs="Times New Roman"/>
        </w:rPr>
        <w:t>C</w:t>
      </w:r>
      <w:r w:rsidRPr="00F53F49">
        <w:rPr>
          <w:rFonts w:ascii="Times New Roman" w:hAnsi="Times New Roman" w:cs="Times New Roman"/>
        </w:rPr>
        <w:t xml:space="preserve">urrent </w:t>
      </w:r>
      <w:r>
        <w:rPr>
          <w:rFonts w:ascii="Times New Roman" w:hAnsi="Times New Roman" w:cs="Times New Roman"/>
        </w:rPr>
        <w:t>Cr</w:t>
      </w:r>
      <w:r w:rsidRPr="00F53F49">
        <w:rPr>
          <w:rFonts w:ascii="Times New Roman" w:hAnsi="Times New Roman" w:cs="Times New Roman"/>
        </w:rPr>
        <w:t xml:space="preserve">edit </w:t>
      </w:r>
      <w:r>
        <w:rPr>
          <w:rFonts w:ascii="Times New Roman" w:hAnsi="Times New Roman" w:cs="Times New Roman"/>
        </w:rPr>
        <w:t>R</w:t>
      </w:r>
      <w:r w:rsidRPr="00F53F49">
        <w:rPr>
          <w:rFonts w:ascii="Times New Roman" w:hAnsi="Times New Roman" w:cs="Times New Roman"/>
        </w:rPr>
        <w:t xml:space="preserve">ating </w:t>
      </w:r>
      <w:r>
        <w:rPr>
          <w:rFonts w:ascii="Times New Roman" w:hAnsi="Times New Roman" w:cs="Times New Roman"/>
        </w:rPr>
        <w:t>R</w:t>
      </w:r>
      <w:r w:rsidRPr="00F53F49">
        <w:rPr>
          <w:rFonts w:ascii="Times New Roman" w:hAnsi="Times New Roman" w:cs="Times New Roman"/>
        </w:rPr>
        <w:t>eport)</w:t>
      </w:r>
      <w:r>
        <w:rPr>
          <w:rFonts w:ascii="Times New Roman" w:hAnsi="Times New Roman" w:cs="Times New Roman"/>
        </w:rPr>
        <w:t xml:space="preserve"> based on</w:t>
      </w:r>
      <w:r w:rsidRPr="00F53F49">
        <w:rPr>
          <w:rFonts w:ascii="Times New Roman" w:hAnsi="Times New Roman" w:cs="Times New Roman"/>
        </w:rPr>
        <w:t xml:space="preserve"> a comprehensive analysis and assessment of the Company's operational and </w:t>
      </w:r>
      <w:r>
        <w:rPr>
          <w:rFonts w:ascii="Times New Roman" w:hAnsi="Times New Roman" w:cs="Times New Roman"/>
        </w:rPr>
        <w:t xml:space="preserve">market </w:t>
      </w:r>
      <w:r w:rsidRPr="00F53F49">
        <w:rPr>
          <w:rFonts w:ascii="Times New Roman" w:hAnsi="Times New Roman" w:cs="Times New Roman"/>
        </w:rPr>
        <w:t xml:space="preserve">conditions. </w:t>
      </w:r>
      <w:r>
        <w:rPr>
          <w:rFonts w:ascii="Times New Roman" w:hAnsi="Times New Roman" w:cs="Times New Roman"/>
        </w:rPr>
        <w:t xml:space="preserve">Following the </w:t>
      </w:r>
      <w:r w:rsidRPr="00F53F49">
        <w:rPr>
          <w:rFonts w:ascii="Times New Roman" w:hAnsi="Times New Roman" w:cs="Times New Roman"/>
        </w:rPr>
        <w:t>evaluation</w:t>
      </w:r>
      <w:r>
        <w:rPr>
          <w:rFonts w:ascii="Times New Roman" w:hAnsi="Times New Roman" w:cs="Times New Roman"/>
        </w:rPr>
        <w:t>s</w:t>
      </w:r>
      <w:r w:rsidRPr="00F53F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both</w:t>
      </w:r>
      <w:r w:rsidRPr="00F53F49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issuer</w:t>
      </w:r>
      <w:r w:rsidRPr="00F53F49">
        <w:rPr>
          <w:rFonts w:ascii="Times New Roman" w:hAnsi="Times New Roman" w:cs="Times New Roman"/>
        </w:rPr>
        <w:t xml:space="preserve"> credit rating of the Company </w:t>
      </w:r>
      <w:r>
        <w:rPr>
          <w:rFonts w:ascii="Times New Roman" w:hAnsi="Times New Roman" w:cs="Times New Roman"/>
        </w:rPr>
        <w:t xml:space="preserve">and the </w:t>
      </w:r>
      <w:proofErr w:type="spellStart"/>
      <w:r>
        <w:rPr>
          <w:rFonts w:ascii="Times New Roman" w:hAnsi="Times New Roman" w:cs="Times New Roman"/>
        </w:rPr>
        <w:t>issue</w:t>
      </w:r>
      <w:proofErr w:type="spellEnd"/>
      <w:r>
        <w:rPr>
          <w:rFonts w:ascii="Times New Roman" w:hAnsi="Times New Roman" w:cs="Times New Roman"/>
        </w:rPr>
        <w:t xml:space="preserve"> credit rating of Industrial Convertible Bonds </w:t>
      </w:r>
      <w:r w:rsidRPr="00F53F4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ere</w:t>
      </w:r>
      <w:r w:rsidRPr="00F53F49">
        <w:rPr>
          <w:rFonts w:ascii="Times New Roman" w:hAnsi="Times New Roman" w:cs="Times New Roman"/>
        </w:rPr>
        <w:t xml:space="preserve"> reaffirmed at AAA, </w:t>
      </w:r>
      <w:r>
        <w:rPr>
          <w:rFonts w:ascii="Times New Roman" w:hAnsi="Times New Roman" w:cs="Times New Roman"/>
        </w:rPr>
        <w:t>with</w:t>
      </w:r>
      <w:r w:rsidRPr="00F53F49">
        <w:rPr>
          <w:rFonts w:ascii="Times New Roman" w:hAnsi="Times New Roman" w:cs="Times New Roman"/>
        </w:rPr>
        <w:t xml:space="preserve"> the rating outlook remain</w:t>
      </w:r>
      <w:r>
        <w:rPr>
          <w:rFonts w:ascii="Times New Roman" w:hAnsi="Times New Roman" w:cs="Times New Roman"/>
        </w:rPr>
        <w:t>ing</w:t>
      </w:r>
      <w:r w:rsidRPr="00F53F49">
        <w:rPr>
          <w:rFonts w:ascii="Times New Roman" w:hAnsi="Times New Roman" w:cs="Times New Roman"/>
        </w:rPr>
        <w:t xml:space="preserve"> unchanged at Stable.</w:t>
      </w:r>
    </w:p>
    <w:p w14:paraId="168414C4" w14:textId="627633DD" w:rsidR="00754F26" w:rsidRPr="00DA1480" w:rsidRDefault="00F53F49" w:rsidP="00F53F49">
      <w:pPr>
        <w:pStyle w:val="a3"/>
        <w:spacing w:before="40" w:line="364" w:lineRule="auto"/>
        <w:ind w:left="0" w:right="117" w:firstLineChars="250" w:firstLine="600"/>
        <w:rPr>
          <w:rFonts w:ascii="Times New Roman" w:hAnsi="Times New Roman" w:cs="Times New Roman"/>
        </w:rPr>
      </w:pPr>
      <w:r w:rsidRPr="00F53F49">
        <w:rPr>
          <w:rFonts w:ascii="Times New Roman" w:hAnsi="Times New Roman" w:cs="Times New Roman"/>
        </w:rPr>
        <w:t xml:space="preserve">The current rating result remains consistent with the previous one, and </w:t>
      </w:r>
      <w:r>
        <w:rPr>
          <w:rFonts w:ascii="Times New Roman" w:hAnsi="Times New Roman" w:cs="Times New Roman"/>
        </w:rPr>
        <w:t>Industrial C</w:t>
      </w:r>
      <w:r w:rsidRPr="00F53F49">
        <w:rPr>
          <w:rFonts w:ascii="Times New Roman" w:hAnsi="Times New Roman" w:cs="Times New Roman"/>
        </w:rPr>
        <w:t>onvertible Bonds continue to be eligible as pledged</w:t>
      </w:r>
      <w:r>
        <w:rPr>
          <w:rFonts w:ascii="Times New Roman" w:hAnsi="Times New Roman" w:cs="Times New Roman"/>
        </w:rPr>
        <w:t xml:space="preserve"> bonds </w:t>
      </w:r>
      <w:r w:rsidRPr="00F53F49">
        <w:rPr>
          <w:rFonts w:ascii="Times New Roman" w:hAnsi="Times New Roman" w:cs="Times New Roman"/>
        </w:rPr>
        <w:t>for bond pledge-</w:t>
      </w:r>
      <w:r>
        <w:rPr>
          <w:rFonts w:ascii="Times New Roman" w:hAnsi="Times New Roman" w:cs="Times New Roman"/>
        </w:rPr>
        <w:t>style</w:t>
      </w:r>
      <w:r w:rsidRPr="00F53F49">
        <w:rPr>
          <w:rFonts w:ascii="Times New Roman" w:hAnsi="Times New Roman" w:cs="Times New Roman"/>
        </w:rPr>
        <w:t xml:space="preserve"> rep</w:t>
      </w:r>
      <w:r>
        <w:rPr>
          <w:rFonts w:ascii="Times New Roman" w:hAnsi="Times New Roman" w:cs="Times New Roman"/>
        </w:rPr>
        <w:t>o</w:t>
      </w:r>
      <w:r w:rsidRPr="00F53F49">
        <w:rPr>
          <w:rFonts w:ascii="Times New Roman" w:hAnsi="Times New Roman" w:cs="Times New Roman"/>
        </w:rPr>
        <w:t xml:space="preserve"> transactions. The complete credit rating report is available on the Shanghai Stock Exchange website (www.sse.com.cn).</w:t>
      </w:r>
    </w:p>
    <w:p w14:paraId="5491109A" w14:textId="3CC695E8" w:rsidR="001B791A" w:rsidRPr="001278E0" w:rsidRDefault="001B791A" w:rsidP="001B791A">
      <w:pPr>
        <w:pStyle w:val="a3"/>
        <w:spacing w:before="1"/>
        <w:ind w:firstLineChars="150" w:firstLine="360"/>
        <w:rPr>
          <w:rFonts w:ascii="Times New Roman" w:hAnsi="Times New Roman" w:cs="Times New Roman"/>
        </w:rPr>
      </w:pPr>
      <w:r w:rsidRPr="001278E0">
        <w:rPr>
          <w:rFonts w:ascii="Times New Roman" w:hAnsi="Times New Roman" w:cs="Times New Roman"/>
        </w:rPr>
        <w:t>It is hereby announced.</w:t>
      </w:r>
    </w:p>
    <w:p w14:paraId="641D5C12" w14:textId="5C36CA5F" w:rsidR="00754F26" w:rsidRPr="00DA1480" w:rsidRDefault="00754F26">
      <w:pPr>
        <w:pStyle w:val="a3"/>
        <w:spacing w:before="2"/>
        <w:ind w:left="581"/>
        <w:rPr>
          <w:rFonts w:ascii="Times New Roman" w:hAnsi="Times New Roman" w:cs="Times New Roman"/>
        </w:rPr>
      </w:pPr>
    </w:p>
    <w:p w14:paraId="55621992" w14:textId="77777777" w:rsidR="00754F26" w:rsidRPr="00DA1480" w:rsidRDefault="00754F26">
      <w:pPr>
        <w:pStyle w:val="a3"/>
        <w:ind w:left="0"/>
        <w:rPr>
          <w:rFonts w:ascii="Times New Roman" w:hAnsi="Times New Roman" w:cs="Times New Roman"/>
        </w:rPr>
      </w:pPr>
    </w:p>
    <w:p w14:paraId="17BF482F" w14:textId="77777777" w:rsidR="001B791A" w:rsidRDefault="001B791A" w:rsidP="001B791A">
      <w:pPr>
        <w:pStyle w:val="Default"/>
        <w:spacing w:line="360" w:lineRule="auto"/>
        <w:ind w:right="33" w:firstLine="200"/>
        <w:jc w:val="right"/>
        <w:rPr>
          <w:rFonts w:ascii="Times New Roman" w:hAnsi="Times New Roman"/>
        </w:rPr>
      </w:pPr>
      <w:r w:rsidRPr="00DF17D7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Directors</w:t>
      </w:r>
      <w:r w:rsidRPr="00DF17D7">
        <w:rPr>
          <w:rFonts w:ascii="Times New Roman" w:hAnsi="Times New Roman"/>
        </w:rPr>
        <w:t xml:space="preserve"> of Industrial Bank Co., Ltd. </w:t>
      </w:r>
    </w:p>
    <w:p w14:paraId="2040EEA5" w14:textId="0A1BE559" w:rsidR="001B791A" w:rsidRPr="001278E0" w:rsidRDefault="001B791A" w:rsidP="001B791A">
      <w:pPr>
        <w:pStyle w:val="Default"/>
        <w:tabs>
          <w:tab w:val="left" w:pos="8364"/>
        </w:tabs>
        <w:spacing w:line="440" w:lineRule="exact"/>
        <w:ind w:firstLineChars="2500" w:firstLine="6000"/>
        <w:jc w:val="right"/>
        <w:rPr>
          <w:rFonts w:ascii="Times New Roman" w:hAnsi="Times New Roman" w:cs="Times New Roman"/>
        </w:rPr>
        <w:sectPr w:rsidR="001B791A" w:rsidRPr="001278E0" w:rsidSect="001B791A">
          <w:footerReference w:type="default" r:id="rId7"/>
          <w:pgSz w:w="11910" w:h="16840"/>
          <w:pgMar w:top="1460" w:right="1360" w:bottom="1400" w:left="1480" w:header="720" w:footer="1202" w:gutter="0"/>
          <w:pgNumType w:start="1"/>
          <w:cols w:space="720"/>
        </w:sectPr>
      </w:pPr>
      <w:r>
        <w:rPr>
          <w:rFonts w:ascii="Times New Roman" w:hAnsi="Times New Roman" w:cs="Times New Roman"/>
          <w:kern w:val="2"/>
        </w:rPr>
        <w:t>May 16</w:t>
      </w:r>
      <w:r>
        <w:rPr>
          <w:rFonts w:ascii="Times New Roman" w:hAnsi="Times New Roman" w:cs="Times New Roman" w:hint="eastAsia"/>
          <w:kern w:val="2"/>
        </w:rPr>
        <w:t>,</w:t>
      </w:r>
      <w:r>
        <w:rPr>
          <w:rFonts w:ascii="Times New Roman" w:hAnsi="Times New Roman" w:cs="Times New Roman"/>
          <w:kern w:val="2"/>
        </w:rPr>
        <w:t xml:space="preserve"> 2023</w:t>
      </w:r>
    </w:p>
    <w:p w14:paraId="2F81EF64" w14:textId="77777777" w:rsidR="001B791A" w:rsidRPr="00DA1480" w:rsidRDefault="001B791A">
      <w:pPr>
        <w:pStyle w:val="a3"/>
        <w:spacing w:line="364" w:lineRule="auto"/>
        <w:ind w:left="6266" w:right="238" w:hanging="780"/>
        <w:rPr>
          <w:rFonts w:ascii="Times New Roman" w:hAnsi="Times New Roman" w:cs="Times New Roman"/>
        </w:rPr>
      </w:pPr>
    </w:p>
    <w:sectPr w:rsidR="001B791A" w:rsidRPr="00DA1480">
      <w:pgSz w:w="11910" w:h="16840"/>
      <w:pgMar w:top="1460" w:right="1460" w:bottom="1220" w:left="160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E552" w14:textId="77777777" w:rsidR="0003681D" w:rsidRDefault="0003681D">
      <w:r>
        <w:separator/>
      </w:r>
    </w:p>
  </w:endnote>
  <w:endnote w:type="continuationSeparator" w:id="0">
    <w:p w14:paraId="34C2EF70" w14:textId="77777777" w:rsidR="0003681D" w:rsidRDefault="0003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BA54" w14:textId="77777777" w:rsidR="001B791A" w:rsidRDefault="0003681D">
    <w:pPr>
      <w:pStyle w:val="a3"/>
      <w:spacing w:line="14" w:lineRule="auto"/>
      <w:ind w:left="0"/>
      <w:rPr>
        <w:sz w:val="20"/>
      </w:rPr>
    </w:pPr>
    <w:r>
      <w:pict w14:anchorId="5D0195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2.5pt;margin-top:770.85pt;width:10.5pt;height:1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0FF2ED" w14:textId="77777777" w:rsidR="001B791A" w:rsidRDefault="001B791A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0E3" w14:textId="77777777" w:rsidR="0003681D" w:rsidRDefault="0003681D">
      <w:r>
        <w:separator/>
      </w:r>
    </w:p>
  </w:footnote>
  <w:footnote w:type="continuationSeparator" w:id="0">
    <w:p w14:paraId="4082487D" w14:textId="77777777" w:rsidR="0003681D" w:rsidRDefault="0003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44E2"/>
    <w:multiLevelType w:val="hybridMultilevel"/>
    <w:tmpl w:val="C248BB98"/>
    <w:lvl w:ilvl="0" w:tplc="2594143A">
      <w:numFmt w:val="bullet"/>
      <w:lvlText w:val="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775693D2">
      <w:numFmt w:val="bullet"/>
      <w:lvlText w:val="•"/>
      <w:lvlJc w:val="left"/>
      <w:pPr>
        <w:ind w:left="1784" w:hanging="360"/>
      </w:pPr>
      <w:rPr>
        <w:rFonts w:hint="default"/>
        <w:lang w:val="en-US" w:eastAsia="zh-CN" w:bidi="ar-SA"/>
      </w:rPr>
    </w:lvl>
    <w:lvl w:ilvl="2" w:tplc="552E45EA">
      <w:numFmt w:val="bullet"/>
      <w:lvlText w:val="•"/>
      <w:lvlJc w:val="left"/>
      <w:pPr>
        <w:ind w:left="2569" w:hanging="360"/>
      </w:pPr>
      <w:rPr>
        <w:rFonts w:hint="default"/>
        <w:lang w:val="en-US" w:eastAsia="zh-CN" w:bidi="ar-SA"/>
      </w:rPr>
    </w:lvl>
    <w:lvl w:ilvl="3" w:tplc="7096C03A">
      <w:numFmt w:val="bullet"/>
      <w:lvlText w:val="•"/>
      <w:lvlJc w:val="left"/>
      <w:pPr>
        <w:ind w:left="3353" w:hanging="360"/>
      </w:pPr>
      <w:rPr>
        <w:rFonts w:hint="default"/>
        <w:lang w:val="en-US" w:eastAsia="zh-CN" w:bidi="ar-SA"/>
      </w:rPr>
    </w:lvl>
    <w:lvl w:ilvl="4" w:tplc="E4040A00">
      <w:numFmt w:val="bullet"/>
      <w:lvlText w:val="•"/>
      <w:lvlJc w:val="left"/>
      <w:pPr>
        <w:ind w:left="4138" w:hanging="360"/>
      </w:pPr>
      <w:rPr>
        <w:rFonts w:hint="default"/>
        <w:lang w:val="en-US" w:eastAsia="zh-CN" w:bidi="ar-SA"/>
      </w:rPr>
    </w:lvl>
    <w:lvl w:ilvl="5" w:tplc="1BBEC078">
      <w:numFmt w:val="bullet"/>
      <w:lvlText w:val="•"/>
      <w:lvlJc w:val="left"/>
      <w:pPr>
        <w:ind w:left="4923" w:hanging="360"/>
      </w:pPr>
      <w:rPr>
        <w:rFonts w:hint="default"/>
        <w:lang w:val="en-US" w:eastAsia="zh-CN" w:bidi="ar-SA"/>
      </w:rPr>
    </w:lvl>
    <w:lvl w:ilvl="6" w:tplc="74545BC8">
      <w:numFmt w:val="bullet"/>
      <w:lvlText w:val="•"/>
      <w:lvlJc w:val="left"/>
      <w:pPr>
        <w:ind w:left="5707" w:hanging="360"/>
      </w:pPr>
      <w:rPr>
        <w:rFonts w:hint="default"/>
        <w:lang w:val="en-US" w:eastAsia="zh-CN" w:bidi="ar-SA"/>
      </w:rPr>
    </w:lvl>
    <w:lvl w:ilvl="7" w:tplc="7DC46394">
      <w:numFmt w:val="bullet"/>
      <w:lvlText w:val="•"/>
      <w:lvlJc w:val="left"/>
      <w:pPr>
        <w:ind w:left="6492" w:hanging="360"/>
      </w:pPr>
      <w:rPr>
        <w:rFonts w:hint="default"/>
        <w:lang w:val="en-US" w:eastAsia="zh-CN" w:bidi="ar-SA"/>
      </w:rPr>
    </w:lvl>
    <w:lvl w:ilvl="8" w:tplc="A7F618B4">
      <w:numFmt w:val="bullet"/>
      <w:lvlText w:val="•"/>
      <w:lvlJc w:val="left"/>
      <w:pPr>
        <w:ind w:left="7277" w:hanging="360"/>
      </w:pPr>
      <w:rPr>
        <w:rFonts w:hint="default"/>
        <w:lang w:val="en-US" w:eastAsia="zh-CN" w:bidi="ar-SA"/>
      </w:rPr>
    </w:lvl>
  </w:abstractNum>
  <w:num w:numId="1" w16cid:durableId="127271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F26"/>
    <w:rsid w:val="0003681D"/>
    <w:rsid w:val="00077EDB"/>
    <w:rsid w:val="001B791A"/>
    <w:rsid w:val="003D3DE6"/>
    <w:rsid w:val="003E3080"/>
    <w:rsid w:val="006B7E09"/>
    <w:rsid w:val="00732BD6"/>
    <w:rsid w:val="00754F26"/>
    <w:rsid w:val="007D02EB"/>
    <w:rsid w:val="007D1382"/>
    <w:rsid w:val="00CD612D"/>
    <w:rsid w:val="00D769DB"/>
    <w:rsid w:val="00DA1480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406B1"/>
  <w15:docId w15:val="{D37BDE57-6626-2A47-9F8F-BC6A2C3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57" w:right="1299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106"/>
      <w:ind w:left="94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1B791A"/>
    <w:pPr>
      <w:adjustRightInd w:val="0"/>
    </w:pPr>
    <w:rPr>
      <w:rFonts w:ascii="宋体" w:eastAsia="宋体" w:hAnsi="Calibri" w:cs="宋体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证券简称:兴业银行          证券代码:601166         编号:临2011-25</dc:title>
  <dc:creator>魏玮</dc:creator>
  <cp:lastModifiedBy>婉艳 崔</cp:lastModifiedBy>
  <cp:revision>8</cp:revision>
  <dcterms:created xsi:type="dcterms:W3CDTF">2023-07-29T02:26:00Z</dcterms:created>
  <dcterms:modified xsi:type="dcterms:W3CDTF">2023-08-03T04:39:00Z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2023-07-29T00:00:00Z</vt:filetime>
  </property>
</Properties>
</file>