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C369" w14:textId="77777777" w:rsidR="0069687E" w:rsidRPr="00C3765C" w:rsidRDefault="00000000">
      <w:pPr>
        <w:widowControl w:val="0"/>
        <w:spacing w:before="15" w:line="247" w:lineRule="auto"/>
        <w:ind w:left="102" w:right="314"/>
        <w:rPr>
          <w:rFonts w:ascii="Times New Roman" w:eastAsia="Microsoft JhengHei" w:hAnsi="Times New Roman" w:cs="Times New Roman"/>
          <w:b/>
          <w:sz w:val="16"/>
          <w:szCs w:val="18"/>
          <w:lang w:eastAsia="zh-CN" w:bidi="ar"/>
        </w:rPr>
      </w:pPr>
      <w:r w:rsidRPr="00C3765C">
        <w:rPr>
          <w:rFonts w:ascii="Times New Roman" w:eastAsia="Microsoft JhengHei" w:hAnsi="Times New Roman" w:cs="Times New Roman"/>
          <w:b/>
          <w:sz w:val="16"/>
          <w:szCs w:val="18"/>
          <w:lang w:eastAsia="zh-CN" w:bidi="ar"/>
        </w:rPr>
        <w:t xml:space="preserve">Announcement Code: TEMP 2023-004  </w:t>
      </w:r>
    </w:p>
    <w:p w14:paraId="38CF7E84" w14:textId="77777777" w:rsidR="0069687E" w:rsidRPr="00C3765C" w:rsidRDefault="00000000">
      <w:pPr>
        <w:widowControl w:val="0"/>
        <w:spacing w:before="15" w:line="247" w:lineRule="auto"/>
        <w:ind w:left="102" w:right="314"/>
        <w:rPr>
          <w:rFonts w:ascii="Times New Roman" w:eastAsia="Microsoft JhengHei" w:hAnsi="Times New Roman" w:cs="Times New Roman"/>
          <w:b/>
          <w:sz w:val="16"/>
          <w:szCs w:val="18"/>
          <w:lang w:eastAsia="zh-CN" w:bidi="ar"/>
        </w:rPr>
      </w:pPr>
      <w:r w:rsidRPr="00C3765C">
        <w:rPr>
          <w:rFonts w:ascii="Times New Roman" w:eastAsia="Microsoft JhengHei" w:hAnsi="Times New Roman" w:cs="Times New Roman"/>
          <w:b/>
          <w:sz w:val="16"/>
          <w:szCs w:val="18"/>
          <w:lang w:eastAsia="zh-CN" w:bidi="ar"/>
        </w:rPr>
        <w:t>Code of A Share: 601166                          Abbreviation of A Share: Industrial Bank</w:t>
      </w:r>
    </w:p>
    <w:p w14:paraId="0B3572F6" w14:textId="77777777" w:rsidR="0069687E" w:rsidRPr="00C3765C" w:rsidRDefault="00000000">
      <w:pPr>
        <w:widowControl w:val="0"/>
        <w:spacing w:before="15" w:line="247" w:lineRule="auto"/>
        <w:ind w:left="102" w:right="314"/>
        <w:rPr>
          <w:rFonts w:ascii="Times New Roman" w:eastAsia="Microsoft JhengHei" w:hAnsi="Times New Roman" w:cs="Times New Roman"/>
          <w:b/>
          <w:sz w:val="16"/>
          <w:szCs w:val="18"/>
          <w:lang w:eastAsia="zh-CN" w:bidi="ar"/>
        </w:rPr>
      </w:pPr>
      <w:r w:rsidRPr="00C3765C">
        <w:rPr>
          <w:rFonts w:ascii="Times New Roman" w:eastAsia="Microsoft JhengHei" w:hAnsi="Times New Roman" w:cs="Times New Roman"/>
          <w:b/>
          <w:sz w:val="16"/>
          <w:szCs w:val="18"/>
          <w:lang w:eastAsia="zh-CN" w:bidi="ar"/>
        </w:rPr>
        <w:t>Code of Preferred Stock: 360005, 360012, 360032     Abbreviation of Preferred Stock: Industrial Preferred 1, Industrial Preferred 2, Industrial Preferred 3</w:t>
      </w:r>
    </w:p>
    <w:p w14:paraId="1C87F527" w14:textId="77777777" w:rsidR="0069687E" w:rsidRPr="00C3765C" w:rsidRDefault="00000000">
      <w:pPr>
        <w:widowControl w:val="0"/>
        <w:spacing w:before="15" w:line="247" w:lineRule="auto"/>
        <w:ind w:left="102" w:right="314"/>
        <w:rPr>
          <w:rFonts w:ascii="Times New Roman" w:eastAsia="Microsoft JhengHei" w:hAnsi="Times New Roman" w:cs="Times New Roman"/>
          <w:b/>
          <w:szCs w:val="22"/>
          <w:lang w:eastAsia="zh-CN" w:bidi="ar"/>
        </w:rPr>
      </w:pPr>
      <w:bookmarkStart w:id="0" w:name="_Hlk103256393"/>
      <w:r w:rsidRPr="00C3765C">
        <w:rPr>
          <w:rFonts w:ascii="Times New Roman" w:eastAsia="Microsoft JhengHei" w:hAnsi="Times New Roman" w:cs="Times New Roman"/>
          <w:b/>
          <w:sz w:val="16"/>
          <w:szCs w:val="18"/>
          <w:lang w:eastAsia="zh-CN" w:bidi="ar"/>
        </w:rPr>
        <w:t xml:space="preserve">Code of Convertible Bonds:113052                 Abbreviation of Convertible Bonds: Industrial Convertible Bonds        </w:t>
      </w:r>
      <w:r w:rsidRPr="00C3765C">
        <w:rPr>
          <w:rFonts w:ascii="Times New Roman" w:eastAsia="Microsoft JhengHei" w:hAnsi="Times New Roman" w:cs="Times New Roman"/>
          <w:b/>
          <w:szCs w:val="22"/>
          <w:lang w:eastAsia="zh-CN" w:bidi="ar"/>
        </w:rPr>
        <w:t xml:space="preserve">                  </w:t>
      </w:r>
      <w:bookmarkEnd w:id="0"/>
    </w:p>
    <w:p w14:paraId="26D48BF9" w14:textId="77777777" w:rsidR="0069687E" w:rsidRPr="00C3765C" w:rsidRDefault="0069687E">
      <w:pPr>
        <w:widowControl w:val="0"/>
        <w:spacing w:before="15" w:line="247" w:lineRule="auto"/>
        <w:ind w:left="102" w:right="314"/>
        <w:rPr>
          <w:rFonts w:ascii="Times New Roman" w:eastAsia="Microsoft JhengHei" w:hAnsi="Times New Roman" w:cs="Times New Roman"/>
          <w:b/>
          <w:szCs w:val="22"/>
          <w:lang w:eastAsia="zh-CN" w:bidi="ar"/>
        </w:rPr>
      </w:pPr>
    </w:p>
    <w:p w14:paraId="430A88C7" w14:textId="77777777" w:rsidR="0069687E" w:rsidRPr="00C3765C" w:rsidRDefault="0069687E">
      <w:pPr>
        <w:spacing w:line="246" w:lineRule="auto"/>
        <w:rPr>
          <w:rFonts w:ascii="Times New Roman" w:hAnsi="Times New Roman" w:cs="Times New Roman"/>
        </w:rPr>
      </w:pPr>
    </w:p>
    <w:p w14:paraId="062E126A" w14:textId="77777777" w:rsidR="0069687E" w:rsidRPr="00C3765C" w:rsidRDefault="00000000">
      <w:pPr>
        <w:pStyle w:val="a5"/>
        <w:widowControl/>
        <w:spacing w:before="59"/>
        <w:rPr>
          <w:rFonts w:ascii="Times New Roman" w:hAnsi="Times New Roman" w:hint="default"/>
          <w:color w:val="FF0000"/>
        </w:rPr>
      </w:pPr>
      <w:r w:rsidRPr="00C3765C">
        <w:rPr>
          <w:rFonts w:ascii="Times New Roman" w:hAnsi="Times New Roman" w:hint="default"/>
          <w:color w:val="FF0000"/>
        </w:rPr>
        <w:t>Industrial Bank Co., Ltd.</w:t>
      </w:r>
    </w:p>
    <w:p w14:paraId="30851100" w14:textId="77777777" w:rsidR="0069687E" w:rsidRPr="00C3765C" w:rsidRDefault="00000000">
      <w:pPr>
        <w:pStyle w:val="a5"/>
        <w:widowControl/>
        <w:spacing w:before="59"/>
        <w:rPr>
          <w:rFonts w:ascii="Times New Roman" w:hAnsi="Times New Roman" w:hint="default"/>
          <w:color w:val="FF0000"/>
        </w:rPr>
      </w:pPr>
      <w:r w:rsidRPr="00C3765C">
        <w:rPr>
          <w:rFonts w:ascii="Times New Roman" w:hAnsi="Times New Roman" w:hint="default"/>
          <w:color w:val="FF0000"/>
        </w:rPr>
        <w:t>Announcement on Convening of 2022 Results Preview</w:t>
      </w:r>
    </w:p>
    <w:p w14:paraId="58F8FB99" w14:textId="77777777" w:rsidR="0069687E" w:rsidRPr="00C3765C" w:rsidRDefault="0069687E">
      <w:pPr>
        <w:spacing w:line="373" w:lineRule="auto"/>
        <w:rPr>
          <w:rFonts w:ascii="Times New Roman" w:hAnsi="Times New Roman" w:cs="Times New Roman"/>
          <w:lang w:eastAsia="zh-CN"/>
        </w:rPr>
      </w:pPr>
    </w:p>
    <w:p w14:paraId="23C1C5E8" w14:textId="77777777" w:rsidR="0069687E" w:rsidRPr="00C3765C" w:rsidRDefault="00000000">
      <w:pPr>
        <w:pStyle w:val="a3"/>
        <w:spacing w:before="1" w:line="219" w:lineRule="auto"/>
        <w:ind w:left="24" w:firstLineChars="200" w:firstLine="468"/>
        <w:rPr>
          <w:rFonts w:ascii="Times New Roman" w:hAnsi="Times New Roman" w:cs="Times New Roman"/>
          <w:sz w:val="21"/>
        </w:rPr>
      </w:pPr>
      <w:r w:rsidRPr="00C3765C">
        <w:rPr>
          <w:rFonts w:ascii="Times New Roman" w:hAnsi="Times New Roman" w:cs="Times New Roman"/>
          <w:spacing w:val="-3"/>
          <w:position w:val="17"/>
          <w:lang w:eastAsia="zh-CN"/>
        </w:rPr>
        <w:t>The Board of Directors of the Company and all directors guarantee that the announcement does not contain any false account, misleading statement, or material omissions, and will collectively and individually take responsibility for ensuring the authenticity, accuracy, and integrity of the announcement.</w:t>
      </w:r>
    </w:p>
    <w:p w14:paraId="5BD2192A" w14:textId="77777777" w:rsidR="0069687E" w:rsidRPr="00C3765C" w:rsidRDefault="0069687E">
      <w:pPr>
        <w:spacing w:line="246" w:lineRule="auto"/>
        <w:rPr>
          <w:rFonts w:ascii="Times New Roman" w:hAnsi="Times New Roman" w:cs="Times New Roman"/>
        </w:rPr>
      </w:pPr>
    </w:p>
    <w:p w14:paraId="5A4D93CB" w14:textId="692C1B46" w:rsidR="0069687E" w:rsidRPr="00A4152A"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A4152A">
        <w:rPr>
          <w:rFonts w:ascii="Times New Roman" w:hAnsi="Times New Roman" w:cs="Times New Roman"/>
          <w:spacing w:val="-3"/>
          <w:position w:val="17"/>
          <w:lang w:eastAsia="zh-CN"/>
        </w:rPr>
        <w:t>The financial information of the industrial Bank Co., Ltd. (</w:t>
      </w:r>
      <w:r w:rsidR="003D4673">
        <w:rPr>
          <w:rFonts w:ascii="Times New Roman" w:hAnsi="Times New Roman" w:cs="Times New Roman"/>
          <w:spacing w:val="-3"/>
          <w:position w:val="17"/>
          <w:lang w:eastAsia="zh-CN"/>
        </w:rPr>
        <w:t>“</w:t>
      </w:r>
      <w:r w:rsidRPr="00A4152A">
        <w:rPr>
          <w:rFonts w:ascii="Times New Roman" w:hAnsi="Times New Roman" w:cs="Times New Roman"/>
          <w:spacing w:val="-3"/>
          <w:position w:val="17"/>
          <w:lang w:eastAsia="zh-CN"/>
        </w:rPr>
        <w:t>Company</w:t>
      </w:r>
      <w:r w:rsidR="003D4673">
        <w:rPr>
          <w:rFonts w:ascii="Times New Roman" w:hAnsi="Times New Roman" w:cs="Times New Roman"/>
          <w:spacing w:val="-3"/>
          <w:position w:val="17"/>
          <w:lang w:eastAsia="zh-CN"/>
        </w:rPr>
        <w:t>”</w:t>
      </w:r>
      <w:r w:rsidRPr="00A4152A">
        <w:rPr>
          <w:rFonts w:ascii="Times New Roman" w:hAnsi="Times New Roman" w:cs="Times New Roman"/>
          <w:spacing w:val="-3"/>
          <w:position w:val="17"/>
          <w:lang w:eastAsia="zh-CN"/>
        </w:rPr>
        <w:t xml:space="preserve">) for the year 2022 mentioned in this </w:t>
      </w:r>
      <w:r w:rsidRPr="003E300E">
        <w:rPr>
          <w:rFonts w:ascii="Times New Roman" w:hAnsi="Times New Roman" w:cs="Times New Roman"/>
          <w:i/>
          <w:iCs/>
          <w:spacing w:val="-3"/>
          <w:position w:val="17"/>
          <w:lang w:eastAsia="zh-CN"/>
        </w:rPr>
        <w:t>Announcement</w:t>
      </w:r>
      <w:r w:rsidRPr="00A4152A">
        <w:rPr>
          <w:rFonts w:ascii="Times New Roman" w:hAnsi="Times New Roman" w:cs="Times New Roman"/>
          <w:spacing w:val="-3"/>
          <w:position w:val="17"/>
          <w:lang w:eastAsia="zh-CN"/>
        </w:rPr>
        <w:t xml:space="preserve"> represents preliminary estimates provided by our corporate group. Please note that these data have not been audited by an accounting firm. In the event of any inconsistencies, the information contained in the Company</w:t>
      </w:r>
      <w:r w:rsidR="003D4673">
        <w:rPr>
          <w:rFonts w:ascii="Times New Roman" w:hAnsi="Times New Roman" w:cs="Times New Roman"/>
          <w:spacing w:val="-3"/>
          <w:position w:val="17"/>
          <w:lang w:eastAsia="zh-CN"/>
        </w:rPr>
        <w:t>’</w:t>
      </w:r>
      <w:r w:rsidRPr="00A4152A">
        <w:rPr>
          <w:rFonts w:ascii="Times New Roman" w:hAnsi="Times New Roman" w:cs="Times New Roman"/>
          <w:spacing w:val="-3"/>
          <w:position w:val="17"/>
          <w:lang w:eastAsia="zh-CN"/>
        </w:rPr>
        <w:t xml:space="preserve">s </w:t>
      </w:r>
      <w:r w:rsidRPr="0048269A">
        <w:rPr>
          <w:rFonts w:ascii="Times New Roman" w:hAnsi="Times New Roman" w:cs="Times New Roman"/>
          <w:i/>
          <w:iCs/>
          <w:spacing w:val="-3"/>
          <w:position w:val="17"/>
          <w:lang w:eastAsia="zh-CN"/>
        </w:rPr>
        <w:t xml:space="preserve">2022 </w:t>
      </w:r>
      <w:r w:rsidR="0048269A" w:rsidRPr="0048269A">
        <w:rPr>
          <w:rFonts w:ascii="Times New Roman" w:hAnsi="Times New Roman" w:cs="Times New Roman"/>
          <w:i/>
          <w:iCs/>
          <w:spacing w:val="-3"/>
          <w:position w:val="17"/>
          <w:lang w:eastAsia="zh-CN"/>
        </w:rPr>
        <w:t xml:space="preserve">Annual Report </w:t>
      </w:r>
      <w:r w:rsidRPr="00A4152A">
        <w:rPr>
          <w:rFonts w:ascii="Times New Roman" w:hAnsi="Times New Roman" w:cs="Times New Roman"/>
          <w:spacing w:val="-3"/>
          <w:position w:val="17"/>
          <w:lang w:eastAsia="zh-CN"/>
        </w:rPr>
        <w:t>shall take precedence. Investors are advised to exercise caution and be mindful of the potential risks associated with investments.</w:t>
      </w:r>
    </w:p>
    <w:p w14:paraId="6D2BC0E3" w14:textId="77777777" w:rsidR="0069687E" w:rsidRPr="00C3765C" w:rsidRDefault="0069687E">
      <w:pPr>
        <w:spacing w:line="463" w:lineRule="auto"/>
        <w:rPr>
          <w:rFonts w:ascii="Times New Roman" w:hAnsi="Times New Roman" w:cs="Times New Roman"/>
        </w:rPr>
      </w:pPr>
    </w:p>
    <w:p w14:paraId="39FDE518" w14:textId="2877C516" w:rsidR="0069687E" w:rsidRPr="003E300E" w:rsidRDefault="003E300E">
      <w:pPr>
        <w:pStyle w:val="a3"/>
        <w:spacing w:before="78" w:line="220" w:lineRule="auto"/>
        <w:rPr>
          <w:rFonts w:ascii="Times New Roman" w:hAnsi="Times New Roman" w:cs="Times New Roman"/>
          <w:b/>
          <w:bCs/>
          <w:spacing w:val="-3"/>
          <w:position w:val="17"/>
          <w:lang w:eastAsia="zh-CN"/>
        </w:rPr>
      </w:pPr>
      <w:r>
        <w:rPr>
          <w:rFonts w:ascii="Times New Roman" w:hAnsi="Times New Roman" w:cs="Times New Roman"/>
          <w:b/>
          <w:bCs/>
          <w:spacing w:val="-3"/>
          <w:position w:val="17"/>
          <w:lang w:eastAsia="zh-CN"/>
        </w:rPr>
        <w:t>I</w:t>
      </w:r>
      <w:r w:rsidR="00000000" w:rsidRPr="003E300E">
        <w:rPr>
          <w:rFonts w:ascii="Times New Roman" w:hAnsi="Times New Roman" w:cs="Times New Roman"/>
          <w:b/>
          <w:bCs/>
          <w:spacing w:val="-3"/>
          <w:position w:val="17"/>
          <w:lang w:eastAsia="zh-CN"/>
        </w:rPr>
        <w:t>. Main Financial Data and Indicators</w:t>
      </w:r>
    </w:p>
    <w:p w14:paraId="5C4A9159" w14:textId="77777777" w:rsidR="0069687E" w:rsidRPr="00C3765C" w:rsidRDefault="00000000">
      <w:pPr>
        <w:pStyle w:val="a3"/>
        <w:spacing w:before="78" w:line="220" w:lineRule="auto"/>
        <w:jc w:val="right"/>
        <w:rPr>
          <w:rFonts w:ascii="Times New Roman" w:hAnsi="Times New Roman" w:cs="Times New Roman"/>
          <w:spacing w:val="-1"/>
          <w14:textOutline w14:w="4356" w14:cap="flat" w14:cmpd="sng" w14:algn="ctr">
            <w14:solidFill>
              <w14:srgbClr w14:val="000000"/>
            </w14:solidFill>
            <w14:prstDash w14:val="solid"/>
            <w14:miter w14:lim="0"/>
          </w14:textOutline>
        </w:rPr>
      </w:pP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(In RMB 1 million yuan)</w:t>
      </w:r>
    </w:p>
    <w:tbl>
      <w:tblPr>
        <w:tblStyle w:val="TableNormal"/>
        <w:tblW w:w="918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85"/>
        <w:gridCol w:w="2226"/>
        <w:gridCol w:w="2130"/>
        <w:gridCol w:w="1845"/>
      </w:tblGrid>
      <w:tr w:rsidR="0069687E" w:rsidRPr="00C3765C" w14:paraId="6C99CBAD" w14:textId="77777777">
        <w:trPr>
          <w:trHeight w:val="769"/>
        </w:trPr>
        <w:tc>
          <w:tcPr>
            <w:tcW w:w="2985" w:type="dxa"/>
          </w:tcPr>
          <w:p w14:paraId="0D0A07B9" w14:textId="77777777" w:rsidR="0069687E" w:rsidRPr="00C3765C" w:rsidRDefault="00000000">
            <w:pPr>
              <w:pStyle w:val="TableText"/>
              <w:spacing w:before="300" w:line="220" w:lineRule="auto"/>
              <w:ind w:left="1260"/>
              <w:rPr>
                <w:rFonts w:ascii="Times New Roman" w:hAnsi="Times New Roman" w:cs="Times New Roman"/>
              </w:rPr>
            </w:pP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Item</w:t>
            </w:r>
          </w:p>
        </w:tc>
        <w:tc>
          <w:tcPr>
            <w:tcW w:w="2226" w:type="dxa"/>
          </w:tcPr>
          <w:p w14:paraId="54D7041F" w14:textId="77777777" w:rsidR="0069687E" w:rsidRPr="00C3765C" w:rsidRDefault="00000000">
            <w:pPr>
              <w:pStyle w:val="a3"/>
              <w:spacing w:before="78" w:line="220" w:lineRule="auto"/>
              <w:jc w:val="center"/>
              <w:rPr>
                <w:rFonts w:ascii="Times New Roman" w:hAnsi="Times New Roman" w:cs="Times New Roman"/>
              </w:rPr>
            </w:pPr>
            <w:bookmarkStart w:id="1" w:name="OLE_LINK1"/>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2022 (Unaudited)</w:t>
            </w:r>
            <w:bookmarkEnd w:id="1"/>
          </w:p>
        </w:tc>
        <w:tc>
          <w:tcPr>
            <w:tcW w:w="2130" w:type="dxa"/>
          </w:tcPr>
          <w:p w14:paraId="57C5F0C7" w14:textId="77777777" w:rsidR="0069687E" w:rsidRPr="00C3765C" w:rsidRDefault="00000000">
            <w:pPr>
              <w:pStyle w:val="a3"/>
              <w:spacing w:before="78" w:line="220" w:lineRule="auto"/>
              <w:jc w:val="center"/>
              <w:rPr>
                <w:rFonts w:ascii="Times New Roman" w:hAnsi="Times New Roman" w:cs="Times New Roman"/>
              </w:rPr>
            </w:pP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2021 (Audited)</w:t>
            </w:r>
          </w:p>
        </w:tc>
        <w:tc>
          <w:tcPr>
            <w:tcW w:w="1845" w:type="dxa"/>
          </w:tcPr>
          <w:p w14:paraId="5FB2E220" w14:textId="77777777" w:rsidR="0069687E" w:rsidRPr="00C3765C" w:rsidRDefault="00000000">
            <w:pPr>
              <w:pStyle w:val="a3"/>
              <w:spacing w:before="78" w:line="220" w:lineRule="auto"/>
              <w:jc w:val="center"/>
              <w:rPr>
                <w:rFonts w:ascii="Times New Roman" w:hAnsi="Times New Roman" w:cs="Times New Roman"/>
              </w:rPr>
            </w:pP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Change (%)</w:t>
            </w:r>
          </w:p>
        </w:tc>
      </w:tr>
      <w:tr w:rsidR="0069687E" w:rsidRPr="00C3765C" w14:paraId="65CAD78F" w14:textId="77777777">
        <w:trPr>
          <w:trHeight w:val="497"/>
        </w:trPr>
        <w:tc>
          <w:tcPr>
            <w:tcW w:w="2985" w:type="dxa"/>
          </w:tcPr>
          <w:p w14:paraId="632794D2" w14:textId="77777777" w:rsidR="0069687E" w:rsidRPr="00C3765C" w:rsidRDefault="00000000">
            <w:pPr>
              <w:pStyle w:val="a3"/>
              <w:spacing w:before="78" w:line="220" w:lineRule="auto"/>
              <w:rPr>
                <w:rFonts w:ascii="Times New Roman" w:hAnsi="Times New Roman" w:cs="Times New Roman"/>
                <w:spacing w:val="-1"/>
                <w14:textOutline w14:w="4356" w14:cap="flat" w14:cmpd="sng" w14:algn="ctr">
                  <w14:solidFill>
                    <w14:srgbClr w14:val="000000"/>
                  </w14:solidFill>
                  <w14:prstDash w14:val="solid"/>
                  <w14:miter w14:lim="0"/>
                </w14:textOutline>
              </w:rPr>
            </w:pP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Operating income</w:t>
            </w:r>
          </w:p>
          <w:p w14:paraId="00852891" w14:textId="77777777" w:rsidR="0069687E" w:rsidRPr="00C3765C" w:rsidRDefault="0069687E">
            <w:pPr>
              <w:pStyle w:val="TableText"/>
              <w:spacing w:before="161" w:line="220" w:lineRule="auto"/>
              <w:ind w:left="124"/>
              <w:rPr>
                <w:rFonts w:ascii="Times New Roman" w:hAnsi="Times New Roman" w:cs="Times New Roman"/>
              </w:rPr>
            </w:pPr>
          </w:p>
        </w:tc>
        <w:tc>
          <w:tcPr>
            <w:tcW w:w="2226" w:type="dxa"/>
          </w:tcPr>
          <w:p w14:paraId="0F71E1D9" w14:textId="77777777" w:rsidR="0069687E" w:rsidRPr="00C3765C" w:rsidRDefault="00000000">
            <w:pPr>
              <w:pStyle w:val="TableText"/>
              <w:spacing w:before="202" w:line="181" w:lineRule="auto"/>
              <w:ind w:left="1287"/>
              <w:rPr>
                <w:rFonts w:ascii="Times New Roman" w:hAnsi="Times New Roman" w:cs="Times New Roman"/>
              </w:rPr>
            </w:pPr>
            <w:r w:rsidRPr="00C3765C">
              <w:rPr>
                <w:rFonts w:ascii="Times New Roman" w:hAnsi="Times New Roman" w:cs="Times New Roman"/>
                <w:spacing w:val="-2"/>
              </w:rPr>
              <w:t>222,374</w:t>
            </w:r>
          </w:p>
        </w:tc>
        <w:tc>
          <w:tcPr>
            <w:tcW w:w="2130" w:type="dxa"/>
          </w:tcPr>
          <w:p w14:paraId="1EF20AE4" w14:textId="77777777" w:rsidR="0069687E" w:rsidRPr="00C3765C" w:rsidRDefault="00000000">
            <w:pPr>
              <w:pStyle w:val="TableText"/>
              <w:spacing w:before="201" w:line="182" w:lineRule="auto"/>
              <w:ind w:left="1193"/>
              <w:rPr>
                <w:rFonts w:ascii="Times New Roman" w:hAnsi="Times New Roman" w:cs="Times New Roman"/>
              </w:rPr>
            </w:pPr>
            <w:r w:rsidRPr="00C3765C">
              <w:rPr>
                <w:rFonts w:ascii="Times New Roman" w:hAnsi="Times New Roman" w:cs="Times New Roman"/>
                <w:spacing w:val="-2"/>
              </w:rPr>
              <w:t>221,236</w:t>
            </w:r>
          </w:p>
        </w:tc>
        <w:tc>
          <w:tcPr>
            <w:tcW w:w="1845" w:type="dxa"/>
          </w:tcPr>
          <w:p w14:paraId="46988FA0" w14:textId="77777777" w:rsidR="0069687E" w:rsidRPr="00C3765C" w:rsidRDefault="00000000">
            <w:pPr>
              <w:pStyle w:val="TableText"/>
              <w:spacing w:before="201" w:line="182" w:lineRule="auto"/>
              <w:ind w:left="1263"/>
              <w:rPr>
                <w:rFonts w:ascii="Times New Roman" w:hAnsi="Times New Roman" w:cs="Times New Roman"/>
              </w:rPr>
            </w:pPr>
            <w:r w:rsidRPr="00C3765C">
              <w:rPr>
                <w:rFonts w:ascii="Times New Roman" w:hAnsi="Times New Roman" w:cs="Times New Roman"/>
                <w:spacing w:val="-3"/>
              </w:rPr>
              <w:t>0.51</w:t>
            </w:r>
          </w:p>
        </w:tc>
      </w:tr>
      <w:tr w:rsidR="0069687E" w:rsidRPr="00C3765C" w14:paraId="33438A09" w14:textId="77777777">
        <w:trPr>
          <w:trHeight w:val="498"/>
        </w:trPr>
        <w:tc>
          <w:tcPr>
            <w:tcW w:w="2985" w:type="dxa"/>
          </w:tcPr>
          <w:p w14:paraId="31BC76CC" w14:textId="77777777" w:rsidR="0069687E" w:rsidRPr="00C3765C" w:rsidRDefault="00000000">
            <w:pPr>
              <w:pStyle w:val="a3"/>
              <w:spacing w:before="78" w:line="220" w:lineRule="auto"/>
              <w:rPr>
                <w:rFonts w:ascii="Times New Roman" w:hAnsi="Times New Roman" w:cs="Times New Roman"/>
                <w:spacing w:val="-1"/>
                <w14:textOutline w14:w="4356" w14:cap="flat" w14:cmpd="sng" w14:algn="ctr">
                  <w14:solidFill>
                    <w14:srgbClr w14:val="000000"/>
                  </w14:solidFill>
                  <w14:prstDash w14:val="solid"/>
                  <w14:miter w14:lim="0"/>
                </w14:textOutline>
              </w:rPr>
            </w:pP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Operating profit</w:t>
            </w:r>
          </w:p>
          <w:p w14:paraId="26262E87" w14:textId="77777777" w:rsidR="0069687E" w:rsidRPr="00C3765C" w:rsidRDefault="0069687E">
            <w:pPr>
              <w:pStyle w:val="TableText"/>
              <w:spacing w:before="164" w:line="220" w:lineRule="auto"/>
              <w:ind w:left="124"/>
              <w:rPr>
                <w:rFonts w:ascii="Times New Roman" w:hAnsi="Times New Roman" w:cs="Times New Roman"/>
              </w:rPr>
            </w:pPr>
          </w:p>
        </w:tc>
        <w:tc>
          <w:tcPr>
            <w:tcW w:w="2226" w:type="dxa"/>
          </w:tcPr>
          <w:p w14:paraId="21D3B049" w14:textId="77777777" w:rsidR="0069687E" w:rsidRPr="00C3765C" w:rsidRDefault="00000000">
            <w:pPr>
              <w:pStyle w:val="TableText"/>
              <w:spacing w:before="203" w:line="182" w:lineRule="auto"/>
              <w:ind w:left="1302"/>
              <w:rPr>
                <w:rFonts w:ascii="Times New Roman" w:hAnsi="Times New Roman" w:cs="Times New Roman"/>
              </w:rPr>
            </w:pPr>
            <w:r w:rsidRPr="00C3765C">
              <w:rPr>
                <w:rFonts w:ascii="Times New Roman" w:hAnsi="Times New Roman" w:cs="Times New Roman"/>
                <w:spacing w:val="-3"/>
              </w:rPr>
              <w:t>106,162</w:t>
            </w:r>
          </w:p>
        </w:tc>
        <w:tc>
          <w:tcPr>
            <w:tcW w:w="2130" w:type="dxa"/>
          </w:tcPr>
          <w:p w14:paraId="511E9FAF" w14:textId="77777777" w:rsidR="0069687E" w:rsidRPr="00C3765C" w:rsidRDefault="00000000">
            <w:pPr>
              <w:pStyle w:val="TableText"/>
              <w:spacing w:before="203" w:line="182" w:lineRule="auto"/>
              <w:ind w:left="1311"/>
              <w:rPr>
                <w:rFonts w:ascii="Times New Roman" w:hAnsi="Times New Roman" w:cs="Times New Roman"/>
              </w:rPr>
            </w:pPr>
            <w:r w:rsidRPr="00C3765C">
              <w:rPr>
                <w:rFonts w:ascii="Times New Roman" w:hAnsi="Times New Roman" w:cs="Times New Roman"/>
                <w:spacing w:val="-1"/>
              </w:rPr>
              <w:t>95,199</w:t>
            </w:r>
          </w:p>
        </w:tc>
        <w:tc>
          <w:tcPr>
            <w:tcW w:w="1845" w:type="dxa"/>
          </w:tcPr>
          <w:p w14:paraId="1EE0DB23" w14:textId="77777777" w:rsidR="0069687E" w:rsidRPr="00C3765C" w:rsidRDefault="00000000">
            <w:pPr>
              <w:pStyle w:val="TableText"/>
              <w:spacing w:before="203" w:line="182" w:lineRule="auto"/>
              <w:ind w:left="1159"/>
              <w:rPr>
                <w:rFonts w:ascii="Times New Roman" w:hAnsi="Times New Roman" w:cs="Times New Roman"/>
              </w:rPr>
            </w:pPr>
            <w:r w:rsidRPr="00C3765C">
              <w:rPr>
                <w:rFonts w:ascii="Times New Roman" w:hAnsi="Times New Roman" w:cs="Times New Roman"/>
                <w:spacing w:val="-6"/>
              </w:rPr>
              <w:t>11.52</w:t>
            </w:r>
          </w:p>
        </w:tc>
      </w:tr>
      <w:tr w:rsidR="0069687E" w:rsidRPr="00C3765C" w14:paraId="6C680841" w14:textId="77777777">
        <w:trPr>
          <w:trHeight w:val="496"/>
        </w:trPr>
        <w:tc>
          <w:tcPr>
            <w:tcW w:w="2985" w:type="dxa"/>
          </w:tcPr>
          <w:p w14:paraId="41133736" w14:textId="77777777" w:rsidR="0069687E" w:rsidRPr="00C3765C" w:rsidRDefault="00000000">
            <w:pPr>
              <w:pStyle w:val="a3"/>
              <w:spacing w:before="78" w:line="220" w:lineRule="auto"/>
              <w:rPr>
                <w:rFonts w:ascii="Times New Roman" w:hAnsi="Times New Roman" w:cs="Times New Roman"/>
                <w:spacing w:val="-1"/>
                <w14:textOutline w14:w="4356" w14:cap="flat" w14:cmpd="sng" w14:algn="ctr">
                  <w14:solidFill>
                    <w14:srgbClr w14:val="000000"/>
                  </w14:solidFill>
                  <w14:prstDash w14:val="solid"/>
                  <w14:miter w14:lim="0"/>
                </w14:textOutline>
              </w:rPr>
            </w:pPr>
            <w:r w:rsidRPr="00C3765C">
              <w:rPr>
                <w:rFonts w:ascii="Times New Roman" w:hAnsi="Times New Roman" w:cs="Times New Roman"/>
                <w:spacing w:val="-1"/>
                <w:lang w:eastAsia="zh-CN"/>
                <w14:textOutline w14:w="4356" w14:cap="flat" w14:cmpd="sng" w14:algn="ctr">
                  <w14:solidFill>
                    <w14:srgbClr w14:val="000000"/>
                  </w14:solidFill>
                  <w14:prstDash w14:val="solid"/>
                  <w14:miter w14:lim="0"/>
                </w14:textOutline>
              </w:rPr>
              <w:t xml:space="preserve">Gross </w:t>
            </w: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profit</w:t>
            </w:r>
          </w:p>
          <w:p w14:paraId="1939F873" w14:textId="77777777" w:rsidR="0069687E" w:rsidRPr="00C3765C" w:rsidRDefault="0069687E">
            <w:pPr>
              <w:pStyle w:val="TableText"/>
              <w:spacing w:before="162" w:line="220" w:lineRule="auto"/>
              <w:ind w:left="118"/>
              <w:rPr>
                <w:rFonts w:ascii="Times New Roman" w:hAnsi="Times New Roman" w:cs="Times New Roman"/>
              </w:rPr>
            </w:pPr>
          </w:p>
        </w:tc>
        <w:tc>
          <w:tcPr>
            <w:tcW w:w="2226" w:type="dxa"/>
          </w:tcPr>
          <w:p w14:paraId="5FFD017B" w14:textId="77777777" w:rsidR="0069687E" w:rsidRPr="00C3765C" w:rsidRDefault="00000000">
            <w:pPr>
              <w:pStyle w:val="TableText"/>
              <w:spacing w:before="202" w:line="182" w:lineRule="auto"/>
              <w:ind w:left="1302"/>
              <w:rPr>
                <w:rFonts w:ascii="Times New Roman" w:hAnsi="Times New Roman" w:cs="Times New Roman"/>
              </w:rPr>
            </w:pPr>
            <w:r w:rsidRPr="00C3765C">
              <w:rPr>
                <w:rFonts w:ascii="Times New Roman" w:hAnsi="Times New Roman" w:cs="Times New Roman"/>
                <w:spacing w:val="-4"/>
              </w:rPr>
              <w:t>106,221</w:t>
            </w:r>
          </w:p>
        </w:tc>
        <w:tc>
          <w:tcPr>
            <w:tcW w:w="2130" w:type="dxa"/>
          </w:tcPr>
          <w:p w14:paraId="082EC43F" w14:textId="77777777" w:rsidR="0069687E" w:rsidRPr="00C3765C" w:rsidRDefault="00000000">
            <w:pPr>
              <w:pStyle w:val="TableText"/>
              <w:spacing w:before="202" w:line="182" w:lineRule="auto"/>
              <w:ind w:left="1311"/>
              <w:rPr>
                <w:rFonts w:ascii="Times New Roman" w:hAnsi="Times New Roman" w:cs="Times New Roman"/>
              </w:rPr>
            </w:pPr>
            <w:r w:rsidRPr="00C3765C">
              <w:rPr>
                <w:rFonts w:ascii="Times New Roman" w:hAnsi="Times New Roman" w:cs="Times New Roman"/>
                <w:spacing w:val="-2"/>
              </w:rPr>
              <w:t>95,310</w:t>
            </w:r>
          </w:p>
        </w:tc>
        <w:tc>
          <w:tcPr>
            <w:tcW w:w="1845" w:type="dxa"/>
          </w:tcPr>
          <w:p w14:paraId="052B6255" w14:textId="77777777" w:rsidR="0069687E" w:rsidRPr="00C3765C" w:rsidRDefault="00000000">
            <w:pPr>
              <w:pStyle w:val="TableText"/>
              <w:spacing w:before="202" w:line="182" w:lineRule="auto"/>
              <w:ind w:left="1159"/>
              <w:rPr>
                <w:rFonts w:ascii="Times New Roman" w:hAnsi="Times New Roman" w:cs="Times New Roman"/>
              </w:rPr>
            </w:pPr>
            <w:r w:rsidRPr="00C3765C">
              <w:rPr>
                <w:rFonts w:ascii="Times New Roman" w:hAnsi="Times New Roman" w:cs="Times New Roman"/>
                <w:spacing w:val="-6"/>
              </w:rPr>
              <w:t>11.45</w:t>
            </w:r>
          </w:p>
        </w:tc>
      </w:tr>
      <w:tr w:rsidR="0069687E" w:rsidRPr="00C3765C" w14:paraId="4FD2182A" w14:textId="77777777">
        <w:trPr>
          <w:trHeight w:val="626"/>
        </w:trPr>
        <w:tc>
          <w:tcPr>
            <w:tcW w:w="2985" w:type="dxa"/>
          </w:tcPr>
          <w:p w14:paraId="6E119A59" w14:textId="77777777" w:rsidR="0069687E" w:rsidRPr="00C3765C" w:rsidRDefault="00000000">
            <w:pPr>
              <w:pStyle w:val="TableText"/>
              <w:spacing w:before="36" w:line="223" w:lineRule="auto"/>
              <w:ind w:left="119" w:right="109" w:firstLine="7"/>
              <w:rPr>
                <w:rFonts w:ascii="Times New Roman" w:hAnsi="Times New Roman" w:cs="Times New Roman"/>
              </w:rPr>
            </w:pP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 xml:space="preserve">Net profit attributable to shareholders of parent company </w:t>
            </w:r>
          </w:p>
        </w:tc>
        <w:tc>
          <w:tcPr>
            <w:tcW w:w="2226" w:type="dxa"/>
          </w:tcPr>
          <w:p w14:paraId="345B4889" w14:textId="77777777" w:rsidR="0069687E" w:rsidRPr="00C3765C" w:rsidRDefault="00000000">
            <w:pPr>
              <w:pStyle w:val="TableText"/>
              <w:spacing w:before="267" w:line="182" w:lineRule="auto"/>
              <w:ind w:left="1405"/>
              <w:rPr>
                <w:rFonts w:ascii="Times New Roman" w:hAnsi="Times New Roman" w:cs="Times New Roman"/>
              </w:rPr>
            </w:pPr>
            <w:r w:rsidRPr="00C3765C">
              <w:rPr>
                <w:rFonts w:ascii="Times New Roman" w:hAnsi="Times New Roman" w:cs="Times New Roman"/>
                <w:spacing w:val="-2"/>
              </w:rPr>
              <w:t>91,377</w:t>
            </w:r>
          </w:p>
        </w:tc>
        <w:tc>
          <w:tcPr>
            <w:tcW w:w="2130" w:type="dxa"/>
          </w:tcPr>
          <w:p w14:paraId="2CFA8185" w14:textId="77777777" w:rsidR="0069687E" w:rsidRPr="00C3765C" w:rsidRDefault="00000000">
            <w:pPr>
              <w:pStyle w:val="TableText"/>
              <w:spacing w:before="268" w:line="181" w:lineRule="auto"/>
              <w:ind w:left="1311"/>
              <w:rPr>
                <w:rFonts w:ascii="Times New Roman" w:hAnsi="Times New Roman" w:cs="Times New Roman"/>
              </w:rPr>
            </w:pPr>
            <w:r w:rsidRPr="00C3765C">
              <w:rPr>
                <w:rFonts w:ascii="Times New Roman" w:hAnsi="Times New Roman" w:cs="Times New Roman"/>
                <w:spacing w:val="-2"/>
              </w:rPr>
              <w:t>82,680</w:t>
            </w:r>
          </w:p>
        </w:tc>
        <w:tc>
          <w:tcPr>
            <w:tcW w:w="1845" w:type="dxa"/>
          </w:tcPr>
          <w:p w14:paraId="21478550" w14:textId="77777777" w:rsidR="0069687E" w:rsidRPr="00C3765C" w:rsidRDefault="00000000">
            <w:pPr>
              <w:pStyle w:val="TableText"/>
              <w:spacing w:before="267" w:line="182" w:lineRule="auto"/>
              <w:ind w:left="1159"/>
              <w:rPr>
                <w:rFonts w:ascii="Times New Roman" w:hAnsi="Times New Roman" w:cs="Times New Roman"/>
              </w:rPr>
            </w:pPr>
            <w:r w:rsidRPr="00C3765C">
              <w:rPr>
                <w:rFonts w:ascii="Times New Roman" w:hAnsi="Times New Roman" w:cs="Times New Roman"/>
                <w:spacing w:val="-6"/>
              </w:rPr>
              <w:t>10.52</w:t>
            </w:r>
          </w:p>
        </w:tc>
      </w:tr>
      <w:tr w:rsidR="0069687E" w:rsidRPr="00C3765C" w14:paraId="7A5D673F" w14:textId="77777777">
        <w:trPr>
          <w:trHeight w:val="628"/>
        </w:trPr>
        <w:tc>
          <w:tcPr>
            <w:tcW w:w="2985" w:type="dxa"/>
          </w:tcPr>
          <w:p w14:paraId="49F5F5BF" w14:textId="77777777" w:rsidR="0069687E" w:rsidRPr="00C3765C" w:rsidRDefault="00000000">
            <w:pPr>
              <w:pStyle w:val="TableText"/>
              <w:spacing w:before="36" w:line="223" w:lineRule="auto"/>
              <w:ind w:left="119" w:right="109" w:firstLine="7"/>
              <w:rPr>
                <w:rFonts w:ascii="Times New Roman" w:hAnsi="Times New Roman" w:cs="Times New Roman"/>
              </w:rPr>
            </w:pP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Net profit attributable to shareholders of parent company after deducting non</w:t>
            </w:r>
            <w:r w:rsidRPr="00C3765C">
              <w:rPr>
                <w:rFonts w:ascii="Times New Roman" w:hAnsi="Times New Roman" w:cs="Times New Roman"/>
                <w:spacing w:val="-1"/>
                <w:lang w:eastAsia="zh-CN"/>
                <w14:textOutline w14:w="4356" w14:cap="flat" w14:cmpd="sng" w14:algn="ctr">
                  <w14:solidFill>
                    <w14:srgbClr w14:val="000000"/>
                  </w14:solidFill>
                  <w14:prstDash w14:val="solid"/>
                  <w14:miter w14:lim="0"/>
                </w14:textOutline>
              </w:rPr>
              <w:t>-</w:t>
            </w: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recurrent gains and losses</w:t>
            </w:r>
          </w:p>
        </w:tc>
        <w:tc>
          <w:tcPr>
            <w:tcW w:w="2226" w:type="dxa"/>
          </w:tcPr>
          <w:p w14:paraId="7BE18F34" w14:textId="77777777" w:rsidR="0069687E" w:rsidRPr="00C3765C" w:rsidRDefault="00000000">
            <w:pPr>
              <w:pStyle w:val="TableText"/>
              <w:spacing w:before="271" w:line="181" w:lineRule="auto"/>
              <w:ind w:left="1405"/>
              <w:rPr>
                <w:rFonts w:ascii="Times New Roman" w:hAnsi="Times New Roman" w:cs="Times New Roman"/>
              </w:rPr>
            </w:pPr>
            <w:r w:rsidRPr="00C3765C">
              <w:rPr>
                <w:rFonts w:ascii="Times New Roman" w:hAnsi="Times New Roman" w:cs="Times New Roman"/>
                <w:spacing w:val="-2"/>
              </w:rPr>
              <w:t>90,996</w:t>
            </w:r>
          </w:p>
        </w:tc>
        <w:tc>
          <w:tcPr>
            <w:tcW w:w="2130" w:type="dxa"/>
          </w:tcPr>
          <w:p w14:paraId="173FB089" w14:textId="77777777" w:rsidR="0069687E" w:rsidRPr="00C3765C" w:rsidRDefault="00000000">
            <w:pPr>
              <w:pStyle w:val="TableText"/>
              <w:spacing w:before="271" w:line="181" w:lineRule="auto"/>
              <w:ind w:left="1311"/>
              <w:rPr>
                <w:rFonts w:ascii="Times New Roman" w:hAnsi="Times New Roman" w:cs="Times New Roman"/>
              </w:rPr>
            </w:pPr>
            <w:r w:rsidRPr="00C3765C">
              <w:rPr>
                <w:rFonts w:ascii="Times New Roman" w:hAnsi="Times New Roman" w:cs="Times New Roman"/>
                <w:spacing w:val="-2"/>
              </w:rPr>
              <w:t>82,206</w:t>
            </w:r>
          </w:p>
        </w:tc>
        <w:tc>
          <w:tcPr>
            <w:tcW w:w="1845" w:type="dxa"/>
          </w:tcPr>
          <w:p w14:paraId="016427F4" w14:textId="77777777" w:rsidR="0069687E" w:rsidRPr="00C3765C" w:rsidRDefault="00000000">
            <w:pPr>
              <w:pStyle w:val="TableText"/>
              <w:spacing w:before="270" w:line="182" w:lineRule="auto"/>
              <w:ind w:left="1159"/>
              <w:rPr>
                <w:rFonts w:ascii="Times New Roman" w:hAnsi="Times New Roman" w:cs="Times New Roman"/>
              </w:rPr>
            </w:pPr>
            <w:r w:rsidRPr="00C3765C">
              <w:rPr>
                <w:rFonts w:ascii="Times New Roman" w:hAnsi="Times New Roman" w:cs="Times New Roman"/>
                <w:spacing w:val="-6"/>
              </w:rPr>
              <w:t>10.69</w:t>
            </w:r>
          </w:p>
        </w:tc>
      </w:tr>
      <w:tr w:rsidR="0069687E" w:rsidRPr="00C3765C" w14:paraId="236363EC" w14:textId="77777777">
        <w:trPr>
          <w:trHeight w:val="496"/>
        </w:trPr>
        <w:tc>
          <w:tcPr>
            <w:tcW w:w="2985" w:type="dxa"/>
          </w:tcPr>
          <w:p w14:paraId="6C4ED126" w14:textId="77777777" w:rsidR="0069687E" w:rsidRPr="00C3765C" w:rsidRDefault="00000000">
            <w:pPr>
              <w:pStyle w:val="TableText"/>
              <w:spacing w:before="164" w:line="219" w:lineRule="auto"/>
              <w:ind w:left="117"/>
              <w:rPr>
                <w:rFonts w:ascii="Times New Roman" w:hAnsi="Times New Roman" w:cs="Times New Roman"/>
              </w:rPr>
            </w:pP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 xml:space="preserve">Basic earnings per share </w:t>
            </w: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lastRenderedPageBreak/>
              <w:t>(yuan)</w:t>
            </w:r>
          </w:p>
        </w:tc>
        <w:tc>
          <w:tcPr>
            <w:tcW w:w="2226" w:type="dxa"/>
          </w:tcPr>
          <w:p w14:paraId="26BA8E86" w14:textId="77777777" w:rsidR="0069687E" w:rsidRPr="00C3765C" w:rsidRDefault="00000000">
            <w:pPr>
              <w:pStyle w:val="TableText"/>
              <w:spacing w:before="205" w:line="181" w:lineRule="auto"/>
              <w:ind w:left="1643"/>
              <w:rPr>
                <w:rFonts w:ascii="Times New Roman" w:hAnsi="Times New Roman" w:cs="Times New Roman"/>
              </w:rPr>
            </w:pPr>
            <w:r w:rsidRPr="00C3765C">
              <w:rPr>
                <w:rFonts w:ascii="Times New Roman" w:hAnsi="Times New Roman" w:cs="Times New Roman"/>
                <w:spacing w:val="-3"/>
              </w:rPr>
              <w:lastRenderedPageBreak/>
              <w:t>4.20</w:t>
            </w:r>
          </w:p>
        </w:tc>
        <w:tc>
          <w:tcPr>
            <w:tcW w:w="2130" w:type="dxa"/>
          </w:tcPr>
          <w:p w14:paraId="5DFA7DEC" w14:textId="77777777" w:rsidR="0069687E" w:rsidRPr="00C3765C" w:rsidRDefault="00000000">
            <w:pPr>
              <w:pStyle w:val="TableText"/>
              <w:spacing w:before="205" w:line="181" w:lineRule="auto"/>
              <w:ind w:left="1555"/>
              <w:rPr>
                <w:rFonts w:ascii="Times New Roman" w:hAnsi="Times New Roman" w:cs="Times New Roman"/>
              </w:rPr>
            </w:pPr>
            <w:r w:rsidRPr="00C3765C">
              <w:rPr>
                <w:rFonts w:ascii="Times New Roman" w:hAnsi="Times New Roman" w:cs="Times New Roman"/>
                <w:spacing w:val="-3"/>
              </w:rPr>
              <w:t>3.77</w:t>
            </w:r>
          </w:p>
        </w:tc>
        <w:tc>
          <w:tcPr>
            <w:tcW w:w="1845" w:type="dxa"/>
          </w:tcPr>
          <w:p w14:paraId="6DBDBF5E" w14:textId="77777777" w:rsidR="0069687E" w:rsidRPr="00C3765C" w:rsidRDefault="00000000">
            <w:pPr>
              <w:pStyle w:val="TableText"/>
              <w:spacing w:before="203" w:line="182" w:lineRule="auto"/>
              <w:ind w:left="1159"/>
              <w:rPr>
                <w:rFonts w:ascii="Times New Roman" w:hAnsi="Times New Roman" w:cs="Times New Roman"/>
              </w:rPr>
            </w:pPr>
            <w:r w:rsidRPr="00C3765C">
              <w:rPr>
                <w:rFonts w:ascii="Times New Roman" w:hAnsi="Times New Roman" w:cs="Times New Roman"/>
                <w:spacing w:val="-6"/>
              </w:rPr>
              <w:t>11.41</w:t>
            </w:r>
          </w:p>
        </w:tc>
      </w:tr>
      <w:tr w:rsidR="0069687E" w:rsidRPr="00C3765C" w14:paraId="2A2057CF" w14:textId="77777777">
        <w:trPr>
          <w:trHeight w:val="897"/>
        </w:trPr>
        <w:tc>
          <w:tcPr>
            <w:tcW w:w="2985" w:type="dxa"/>
          </w:tcPr>
          <w:p w14:paraId="36FD286E" w14:textId="77777777" w:rsidR="0069687E" w:rsidRPr="00C3765C" w:rsidRDefault="00000000">
            <w:pPr>
              <w:pStyle w:val="TableText"/>
              <w:spacing w:before="164" w:line="219" w:lineRule="auto"/>
              <w:ind w:left="117"/>
              <w:rPr>
                <w:rFonts w:ascii="Times New Roman" w:hAnsi="Times New Roman" w:cs="Times New Roman"/>
              </w:rPr>
            </w:pP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Weighted average return on net assets (%)</w:t>
            </w:r>
          </w:p>
        </w:tc>
        <w:tc>
          <w:tcPr>
            <w:tcW w:w="2226" w:type="dxa"/>
          </w:tcPr>
          <w:p w14:paraId="2904D9AE" w14:textId="77777777" w:rsidR="0069687E" w:rsidRPr="00C3765C" w:rsidRDefault="0069687E">
            <w:pPr>
              <w:spacing w:line="325" w:lineRule="auto"/>
              <w:rPr>
                <w:rFonts w:ascii="Times New Roman" w:hAnsi="Times New Roman" w:cs="Times New Roman"/>
              </w:rPr>
            </w:pPr>
          </w:p>
          <w:p w14:paraId="3A1FBA42" w14:textId="77777777" w:rsidR="0069687E" w:rsidRPr="00C3765C" w:rsidRDefault="00000000">
            <w:pPr>
              <w:pStyle w:val="TableText"/>
              <w:spacing w:before="78" w:line="182" w:lineRule="auto"/>
              <w:ind w:left="1542"/>
              <w:rPr>
                <w:rFonts w:ascii="Times New Roman" w:hAnsi="Times New Roman" w:cs="Times New Roman"/>
              </w:rPr>
            </w:pPr>
            <w:r w:rsidRPr="00C3765C">
              <w:rPr>
                <w:rFonts w:ascii="Times New Roman" w:hAnsi="Times New Roman" w:cs="Times New Roman"/>
                <w:spacing w:val="-6"/>
              </w:rPr>
              <w:t>13.85</w:t>
            </w:r>
          </w:p>
        </w:tc>
        <w:tc>
          <w:tcPr>
            <w:tcW w:w="2130" w:type="dxa"/>
          </w:tcPr>
          <w:p w14:paraId="6E394BD8" w14:textId="77777777" w:rsidR="0069687E" w:rsidRPr="00C3765C" w:rsidRDefault="0069687E">
            <w:pPr>
              <w:spacing w:line="325" w:lineRule="auto"/>
              <w:rPr>
                <w:rFonts w:ascii="Times New Roman" w:hAnsi="Times New Roman" w:cs="Times New Roman"/>
              </w:rPr>
            </w:pPr>
          </w:p>
          <w:p w14:paraId="271F7D74" w14:textId="77777777" w:rsidR="0069687E" w:rsidRPr="00C3765C" w:rsidRDefault="00000000">
            <w:pPr>
              <w:pStyle w:val="TableText"/>
              <w:spacing w:before="78" w:line="182" w:lineRule="auto"/>
              <w:ind w:left="1448"/>
              <w:rPr>
                <w:rFonts w:ascii="Times New Roman" w:hAnsi="Times New Roman" w:cs="Times New Roman"/>
              </w:rPr>
            </w:pPr>
            <w:r w:rsidRPr="00C3765C">
              <w:rPr>
                <w:rFonts w:ascii="Times New Roman" w:hAnsi="Times New Roman" w:cs="Times New Roman"/>
                <w:spacing w:val="-5"/>
              </w:rPr>
              <w:t>13.94</w:t>
            </w:r>
          </w:p>
        </w:tc>
        <w:tc>
          <w:tcPr>
            <w:tcW w:w="1845" w:type="dxa"/>
          </w:tcPr>
          <w:p w14:paraId="7E1C98D6" w14:textId="77777777" w:rsidR="0069687E" w:rsidRPr="00C3765C" w:rsidRDefault="00000000">
            <w:pPr>
              <w:pStyle w:val="TableText"/>
              <w:spacing w:before="78" w:line="182" w:lineRule="auto"/>
              <w:rPr>
                <w:rFonts w:ascii="Times New Roman" w:hAnsi="Times New Roman" w:cs="Times New Roman"/>
                <w:spacing w:val="-5"/>
              </w:rPr>
            </w:pPr>
            <w:r w:rsidRPr="00C3765C">
              <w:rPr>
                <w:rFonts w:ascii="Times New Roman" w:hAnsi="Times New Roman" w:cs="Times New Roman"/>
                <w:spacing w:val="-5"/>
                <w:lang w:eastAsia="zh-CN"/>
              </w:rPr>
              <w:t xml:space="preserve">Down </w:t>
            </w:r>
            <w:r w:rsidRPr="00C3765C">
              <w:rPr>
                <w:rFonts w:ascii="Times New Roman" w:hAnsi="Times New Roman" w:cs="Times New Roman"/>
                <w:spacing w:val="-5"/>
              </w:rPr>
              <w:t xml:space="preserve"> 0.09</w:t>
            </w:r>
            <w:r w:rsidRPr="00C3765C">
              <w:rPr>
                <w:rFonts w:ascii="Times New Roman" w:hAnsi="Times New Roman" w:cs="Times New Roman"/>
                <w:spacing w:val="-5"/>
                <w:lang w:eastAsia="zh-CN"/>
              </w:rPr>
              <w:t xml:space="preserve"> percentage points</w:t>
            </w:r>
          </w:p>
        </w:tc>
      </w:tr>
      <w:tr w:rsidR="0069687E" w:rsidRPr="00C3765C" w14:paraId="39C7BD74" w14:textId="77777777">
        <w:trPr>
          <w:trHeight w:val="765"/>
        </w:trPr>
        <w:tc>
          <w:tcPr>
            <w:tcW w:w="2985" w:type="dxa"/>
          </w:tcPr>
          <w:p w14:paraId="35D562A9" w14:textId="77777777" w:rsidR="0069687E" w:rsidRPr="00C3765C" w:rsidRDefault="0069687E">
            <w:pPr>
              <w:rPr>
                <w:rFonts w:ascii="Times New Roman" w:hAnsi="Times New Roman" w:cs="Times New Roman"/>
              </w:rPr>
            </w:pPr>
          </w:p>
        </w:tc>
        <w:tc>
          <w:tcPr>
            <w:tcW w:w="2226" w:type="dxa"/>
          </w:tcPr>
          <w:p w14:paraId="5636CBA7" w14:textId="77777777" w:rsidR="0069687E" w:rsidRPr="00C3765C" w:rsidRDefault="00000000">
            <w:pPr>
              <w:pStyle w:val="TableText"/>
              <w:spacing w:before="70" w:line="220" w:lineRule="auto"/>
              <w:jc w:val="center"/>
              <w:rPr>
                <w:rFonts w:ascii="Times New Roman" w:hAnsi="Times New Roman" w:cs="Times New Roman"/>
              </w:rPr>
            </w:pPr>
            <w:r w:rsidRPr="00C3765C">
              <w:rPr>
                <w:rFonts w:ascii="Times New Roman" w:hAnsi="Times New Roman" w:cs="Times New Roman"/>
                <w:spacing w:val="-8"/>
                <w:lang w:eastAsia="zh-CN"/>
                <w14:textOutline w14:w="4356" w14:cap="flat" w14:cmpd="sng" w14:algn="ctr">
                  <w14:solidFill>
                    <w14:srgbClr w14:val="000000"/>
                  </w14:solidFill>
                  <w14:prstDash w14:val="solid"/>
                  <w14:miter w14:lim="0"/>
                </w14:textOutline>
              </w:rPr>
              <w:t xml:space="preserve">December 31 </w:t>
            </w: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2022</w:t>
            </w:r>
            <w:r w:rsidRPr="00C3765C">
              <w:rPr>
                <w:rFonts w:ascii="Times New Roman" w:hAnsi="Times New Roman" w:cs="Times New Roman"/>
                <w:spacing w:val="-1"/>
                <w:lang w:eastAsia="zh-CN"/>
                <w14:textOutline w14:w="4356" w14:cap="flat" w14:cmpd="sng" w14:algn="ctr">
                  <w14:solidFill>
                    <w14:srgbClr w14:val="000000"/>
                  </w14:solidFill>
                  <w14:prstDash w14:val="solid"/>
                  <w14:miter w14:lim="0"/>
                </w14:textOutline>
              </w:rPr>
              <w:t xml:space="preserve"> </w:t>
            </w: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(Unaudited)</w:t>
            </w:r>
          </w:p>
        </w:tc>
        <w:tc>
          <w:tcPr>
            <w:tcW w:w="2130" w:type="dxa"/>
          </w:tcPr>
          <w:p w14:paraId="0F2FB2D7" w14:textId="77777777" w:rsidR="0069687E" w:rsidRPr="00C3765C" w:rsidRDefault="00000000">
            <w:pPr>
              <w:pStyle w:val="TableText"/>
              <w:spacing w:before="70" w:line="220" w:lineRule="auto"/>
              <w:jc w:val="center"/>
              <w:rPr>
                <w:rFonts w:ascii="Times New Roman" w:hAnsi="Times New Roman" w:cs="Times New Roman"/>
                <w:spacing w:val="-5"/>
                <w14:textOutline w14:w="4356" w14:cap="flat" w14:cmpd="sng" w14:algn="ctr">
                  <w14:solidFill>
                    <w14:srgbClr w14:val="000000"/>
                  </w14:solidFill>
                  <w14:prstDash w14:val="solid"/>
                  <w14:miter w14:lim="0"/>
                </w14:textOutline>
              </w:rPr>
            </w:pPr>
            <w:r w:rsidRPr="00C3765C">
              <w:rPr>
                <w:rFonts w:ascii="Times New Roman" w:hAnsi="Times New Roman" w:cs="Times New Roman"/>
                <w:spacing w:val="-8"/>
                <w:lang w:eastAsia="zh-CN"/>
                <w14:textOutline w14:w="4356" w14:cap="flat" w14:cmpd="sng" w14:algn="ctr">
                  <w14:solidFill>
                    <w14:srgbClr w14:val="000000"/>
                  </w14:solidFill>
                  <w14:prstDash w14:val="solid"/>
                  <w14:miter w14:lim="0"/>
                </w14:textOutline>
              </w:rPr>
              <w:t xml:space="preserve">December 31 </w:t>
            </w: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202</w:t>
            </w:r>
            <w:r w:rsidRPr="00C3765C">
              <w:rPr>
                <w:rFonts w:ascii="Times New Roman" w:hAnsi="Times New Roman" w:cs="Times New Roman"/>
                <w:spacing w:val="-1"/>
                <w:lang w:eastAsia="zh-CN"/>
                <w14:textOutline w14:w="4356" w14:cap="flat" w14:cmpd="sng" w14:algn="ctr">
                  <w14:solidFill>
                    <w14:srgbClr w14:val="000000"/>
                  </w14:solidFill>
                  <w14:prstDash w14:val="solid"/>
                  <w14:miter w14:lim="0"/>
                </w14:textOutline>
              </w:rPr>
              <w:t xml:space="preserve">1 </w:t>
            </w: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(Audited)</w:t>
            </w:r>
          </w:p>
          <w:p w14:paraId="33ECAE89" w14:textId="77777777" w:rsidR="0069687E" w:rsidRPr="00C3765C" w:rsidRDefault="0069687E">
            <w:pPr>
              <w:pStyle w:val="TableText"/>
              <w:spacing w:before="70" w:line="220" w:lineRule="auto"/>
              <w:rPr>
                <w:rFonts w:ascii="Times New Roman" w:hAnsi="Times New Roman" w:cs="Times New Roman"/>
                <w:spacing w:val="-5"/>
                <w14:textOutline w14:w="4356" w14:cap="flat" w14:cmpd="sng" w14:algn="ctr">
                  <w14:solidFill>
                    <w14:srgbClr w14:val="000000"/>
                  </w14:solidFill>
                  <w14:prstDash w14:val="solid"/>
                  <w14:miter w14:lim="0"/>
                </w14:textOutline>
              </w:rPr>
            </w:pPr>
          </w:p>
        </w:tc>
        <w:tc>
          <w:tcPr>
            <w:tcW w:w="1845" w:type="dxa"/>
          </w:tcPr>
          <w:p w14:paraId="19F07BBD" w14:textId="77777777" w:rsidR="0069687E" w:rsidRPr="00C3765C" w:rsidRDefault="00000000">
            <w:pPr>
              <w:pStyle w:val="a3"/>
              <w:spacing w:before="78" w:line="220" w:lineRule="auto"/>
              <w:jc w:val="center"/>
              <w:rPr>
                <w:rFonts w:ascii="Times New Roman" w:hAnsi="Times New Roman" w:cs="Times New Roman"/>
              </w:rPr>
            </w:pPr>
            <w:r w:rsidRPr="00C3765C">
              <w:rPr>
                <w:rFonts w:ascii="Times New Roman" w:hAnsi="Times New Roman" w:cs="Times New Roman"/>
                <w:spacing w:val="-1"/>
                <w14:textOutline w14:w="4356" w14:cap="flat" w14:cmpd="sng" w14:algn="ctr">
                  <w14:solidFill>
                    <w14:srgbClr w14:val="000000"/>
                  </w14:solidFill>
                  <w14:prstDash w14:val="solid"/>
                  <w14:miter w14:lim="0"/>
                </w14:textOutline>
              </w:rPr>
              <w:t>Change (%)</w:t>
            </w:r>
          </w:p>
        </w:tc>
      </w:tr>
      <w:tr w:rsidR="0069687E" w:rsidRPr="00C3765C" w14:paraId="69655D05" w14:textId="77777777">
        <w:trPr>
          <w:trHeight w:val="496"/>
        </w:trPr>
        <w:tc>
          <w:tcPr>
            <w:tcW w:w="2985" w:type="dxa"/>
          </w:tcPr>
          <w:p w14:paraId="3EBBE308" w14:textId="77777777" w:rsidR="0069687E" w:rsidRPr="00C3765C" w:rsidRDefault="00000000">
            <w:pPr>
              <w:pStyle w:val="TableText"/>
              <w:spacing w:before="166" w:line="220" w:lineRule="auto"/>
              <w:ind w:left="123"/>
              <w:rPr>
                <w:rFonts w:ascii="Times New Roman" w:hAnsi="Times New Roman" w:cs="Times New Roman"/>
              </w:rPr>
            </w:pPr>
            <w:r w:rsidRPr="00C3765C">
              <w:rPr>
                <w:rFonts w:ascii="Times New Roman" w:hAnsi="Times New Roman" w:cs="Times New Roman"/>
                <w:spacing w:val="-4"/>
              </w:rPr>
              <w:t>Total assets</w:t>
            </w:r>
          </w:p>
        </w:tc>
        <w:tc>
          <w:tcPr>
            <w:tcW w:w="2226" w:type="dxa"/>
          </w:tcPr>
          <w:p w14:paraId="49018638" w14:textId="77777777" w:rsidR="0069687E" w:rsidRPr="00C3765C" w:rsidRDefault="00000000">
            <w:pPr>
              <w:pStyle w:val="TableText"/>
              <w:spacing w:before="205" w:line="182" w:lineRule="auto"/>
              <w:ind w:left="1045"/>
              <w:rPr>
                <w:rFonts w:ascii="Times New Roman" w:hAnsi="Times New Roman" w:cs="Times New Roman"/>
              </w:rPr>
            </w:pPr>
            <w:r w:rsidRPr="00C3765C">
              <w:rPr>
                <w:rFonts w:ascii="Times New Roman" w:hAnsi="Times New Roman" w:cs="Times New Roman"/>
                <w:spacing w:val="-1"/>
              </w:rPr>
              <w:t>9,271,761</w:t>
            </w:r>
          </w:p>
        </w:tc>
        <w:tc>
          <w:tcPr>
            <w:tcW w:w="2130" w:type="dxa"/>
          </w:tcPr>
          <w:p w14:paraId="5A86E3CA" w14:textId="77777777" w:rsidR="0069687E" w:rsidRPr="00C3765C" w:rsidRDefault="00000000">
            <w:pPr>
              <w:pStyle w:val="TableText"/>
              <w:spacing w:before="206" w:line="181" w:lineRule="auto"/>
              <w:ind w:left="951"/>
              <w:rPr>
                <w:rFonts w:ascii="Times New Roman" w:hAnsi="Times New Roman" w:cs="Times New Roman"/>
              </w:rPr>
            </w:pPr>
            <w:r w:rsidRPr="00C3765C">
              <w:rPr>
                <w:rFonts w:ascii="Times New Roman" w:hAnsi="Times New Roman" w:cs="Times New Roman"/>
                <w:spacing w:val="-2"/>
              </w:rPr>
              <w:t>8,603,024</w:t>
            </w:r>
          </w:p>
        </w:tc>
        <w:tc>
          <w:tcPr>
            <w:tcW w:w="1845" w:type="dxa"/>
          </w:tcPr>
          <w:p w14:paraId="03DDA73C" w14:textId="77777777" w:rsidR="0069687E" w:rsidRPr="00C3765C" w:rsidRDefault="00000000">
            <w:pPr>
              <w:pStyle w:val="TableText"/>
              <w:spacing w:before="208" w:line="180" w:lineRule="auto"/>
              <w:ind w:left="1267"/>
              <w:rPr>
                <w:rFonts w:ascii="Times New Roman" w:hAnsi="Times New Roman" w:cs="Times New Roman"/>
              </w:rPr>
            </w:pPr>
            <w:r w:rsidRPr="00C3765C">
              <w:rPr>
                <w:rFonts w:ascii="Times New Roman" w:hAnsi="Times New Roman" w:cs="Times New Roman"/>
                <w:spacing w:val="-4"/>
              </w:rPr>
              <w:t>7.77</w:t>
            </w:r>
          </w:p>
        </w:tc>
      </w:tr>
      <w:tr w:rsidR="0069687E" w:rsidRPr="00C3765C" w14:paraId="1FD1B0A3" w14:textId="77777777">
        <w:trPr>
          <w:trHeight w:val="501"/>
        </w:trPr>
        <w:tc>
          <w:tcPr>
            <w:tcW w:w="2985" w:type="dxa"/>
          </w:tcPr>
          <w:p w14:paraId="70AE79CE" w14:textId="77777777" w:rsidR="0069687E" w:rsidRPr="00C3765C" w:rsidRDefault="00000000">
            <w:pPr>
              <w:pStyle w:val="TableText"/>
              <w:spacing w:before="166" w:line="220" w:lineRule="auto"/>
              <w:ind w:left="123"/>
              <w:rPr>
                <w:rFonts w:ascii="Times New Roman" w:hAnsi="Times New Roman" w:cs="Times New Roman"/>
              </w:rPr>
            </w:pPr>
            <w:r w:rsidRPr="00C3765C">
              <w:rPr>
                <w:rFonts w:ascii="Times New Roman" w:hAnsi="Times New Roman" w:cs="Times New Roman"/>
                <w:spacing w:val="-4"/>
              </w:rPr>
              <w:t>Total liabilities</w:t>
            </w:r>
          </w:p>
        </w:tc>
        <w:tc>
          <w:tcPr>
            <w:tcW w:w="2226" w:type="dxa"/>
          </w:tcPr>
          <w:p w14:paraId="7083D0BD" w14:textId="77777777" w:rsidR="0069687E" w:rsidRPr="00C3765C" w:rsidRDefault="00000000">
            <w:pPr>
              <w:pStyle w:val="TableText"/>
              <w:spacing w:before="205" w:line="182" w:lineRule="auto"/>
              <w:ind w:left="1045"/>
              <w:rPr>
                <w:rFonts w:ascii="Times New Roman" w:hAnsi="Times New Roman" w:cs="Times New Roman"/>
              </w:rPr>
            </w:pPr>
            <w:r w:rsidRPr="00C3765C">
              <w:rPr>
                <w:rFonts w:ascii="Times New Roman" w:hAnsi="Times New Roman" w:cs="Times New Roman"/>
                <w:spacing w:val="-2"/>
              </w:rPr>
              <w:t>8,514,463</w:t>
            </w:r>
          </w:p>
        </w:tc>
        <w:tc>
          <w:tcPr>
            <w:tcW w:w="2130" w:type="dxa"/>
          </w:tcPr>
          <w:p w14:paraId="0BEBDB13" w14:textId="77777777" w:rsidR="0069687E" w:rsidRPr="00C3765C" w:rsidRDefault="00000000">
            <w:pPr>
              <w:pStyle w:val="TableText"/>
              <w:spacing w:before="207" w:line="181" w:lineRule="auto"/>
              <w:ind w:left="956"/>
              <w:rPr>
                <w:rFonts w:ascii="Times New Roman" w:hAnsi="Times New Roman" w:cs="Times New Roman"/>
              </w:rPr>
            </w:pPr>
            <w:r w:rsidRPr="00C3765C">
              <w:rPr>
                <w:rFonts w:ascii="Times New Roman" w:hAnsi="Times New Roman" w:cs="Times New Roman"/>
                <w:spacing w:val="-2"/>
              </w:rPr>
              <w:t>7,908,726</w:t>
            </w:r>
          </w:p>
        </w:tc>
        <w:tc>
          <w:tcPr>
            <w:tcW w:w="1845" w:type="dxa"/>
          </w:tcPr>
          <w:p w14:paraId="7240177B" w14:textId="77777777" w:rsidR="0069687E" w:rsidRPr="00C3765C" w:rsidRDefault="00000000">
            <w:pPr>
              <w:pStyle w:val="TableText"/>
              <w:spacing w:before="207" w:line="181" w:lineRule="auto"/>
              <w:ind w:left="1267"/>
              <w:rPr>
                <w:rFonts w:ascii="Times New Roman" w:hAnsi="Times New Roman" w:cs="Times New Roman"/>
              </w:rPr>
            </w:pPr>
            <w:r w:rsidRPr="00C3765C">
              <w:rPr>
                <w:rFonts w:ascii="Times New Roman" w:hAnsi="Times New Roman" w:cs="Times New Roman"/>
                <w:spacing w:val="-4"/>
              </w:rPr>
              <w:t>7.66</w:t>
            </w:r>
          </w:p>
        </w:tc>
      </w:tr>
    </w:tbl>
    <w:tbl>
      <w:tblPr>
        <w:tblStyle w:val="TableNormal"/>
        <w:tblpPr w:leftFromText="180" w:rightFromText="180" w:vertAnchor="text" w:horzAnchor="margin" w:tblpY="499"/>
        <w:tblW w:w="918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85"/>
        <w:gridCol w:w="2226"/>
        <w:gridCol w:w="2130"/>
        <w:gridCol w:w="1845"/>
      </w:tblGrid>
      <w:tr w:rsidR="000914CF" w:rsidRPr="00C3765C" w14:paraId="116C5F21" w14:textId="77777777" w:rsidTr="000914CF">
        <w:trPr>
          <w:trHeight w:val="633"/>
        </w:trPr>
        <w:tc>
          <w:tcPr>
            <w:tcW w:w="2985" w:type="dxa"/>
          </w:tcPr>
          <w:p w14:paraId="212EE2C2" w14:textId="77777777" w:rsidR="000914CF" w:rsidRPr="00C3765C" w:rsidRDefault="000914CF" w:rsidP="000914CF">
            <w:pPr>
              <w:pStyle w:val="TableText"/>
              <w:spacing w:before="40" w:line="224" w:lineRule="auto"/>
              <w:ind w:left="119" w:right="109" w:firstLine="7"/>
              <w:rPr>
                <w:rFonts w:ascii="Times New Roman" w:hAnsi="Times New Roman" w:cs="Times New Roman"/>
              </w:rPr>
            </w:pPr>
            <w:r w:rsidRPr="00C3765C">
              <w:rPr>
                <w:rFonts w:ascii="Times New Roman" w:hAnsi="Times New Roman" w:cs="Times New Roman"/>
                <w:spacing w:val="-4"/>
              </w:rPr>
              <w:t>Owner</w:t>
            </w:r>
            <w:r>
              <w:rPr>
                <w:rFonts w:ascii="Times New Roman" w:hAnsi="Times New Roman" w:cs="Times New Roman"/>
                <w:spacing w:val="-4"/>
              </w:rPr>
              <w:t>’</w:t>
            </w:r>
            <w:r w:rsidRPr="00C3765C">
              <w:rPr>
                <w:rFonts w:ascii="Times New Roman" w:hAnsi="Times New Roman" w:cs="Times New Roman"/>
                <w:spacing w:val="-4"/>
              </w:rPr>
              <w:t>s equity attributable to the shareholders of parent company</w:t>
            </w:r>
          </w:p>
        </w:tc>
        <w:tc>
          <w:tcPr>
            <w:tcW w:w="2226" w:type="dxa"/>
          </w:tcPr>
          <w:p w14:paraId="1EBDED24" w14:textId="77777777" w:rsidR="000914CF" w:rsidRPr="00C3765C" w:rsidRDefault="000914CF" w:rsidP="000914CF">
            <w:pPr>
              <w:pStyle w:val="TableText"/>
              <w:spacing w:before="271" w:line="182" w:lineRule="auto"/>
              <w:ind w:left="1290"/>
              <w:rPr>
                <w:rFonts w:ascii="Times New Roman" w:hAnsi="Times New Roman" w:cs="Times New Roman"/>
              </w:rPr>
            </w:pPr>
            <w:r w:rsidRPr="00C3765C">
              <w:rPr>
                <w:rFonts w:ascii="Times New Roman" w:hAnsi="Times New Roman" w:cs="Times New Roman"/>
                <w:spacing w:val="-3"/>
              </w:rPr>
              <w:t>746,187</w:t>
            </w:r>
          </w:p>
        </w:tc>
        <w:tc>
          <w:tcPr>
            <w:tcW w:w="2130" w:type="dxa"/>
          </w:tcPr>
          <w:p w14:paraId="773F4E8C" w14:textId="77777777" w:rsidR="000914CF" w:rsidRPr="00C3765C" w:rsidRDefault="000914CF" w:rsidP="000914CF">
            <w:pPr>
              <w:pStyle w:val="TableText"/>
              <w:spacing w:before="271" w:line="182" w:lineRule="auto"/>
              <w:ind w:left="1192"/>
              <w:rPr>
                <w:rFonts w:ascii="Times New Roman" w:hAnsi="Times New Roman" w:cs="Times New Roman"/>
              </w:rPr>
            </w:pPr>
            <w:r w:rsidRPr="00C3765C">
              <w:rPr>
                <w:rFonts w:ascii="Times New Roman" w:hAnsi="Times New Roman" w:cs="Times New Roman"/>
                <w:spacing w:val="-2"/>
              </w:rPr>
              <w:t>684,111</w:t>
            </w:r>
          </w:p>
        </w:tc>
        <w:tc>
          <w:tcPr>
            <w:tcW w:w="1845" w:type="dxa"/>
          </w:tcPr>
          <w:p w14:paraId="52B55435" w14:textId="77777777" w:rsidR="000914CF" w:rsidRPr="00C3765C" w:rsidRDefault="000914CF" w:rsidP="000914CF">
            <w:pPr>
              <w:pStyle w:val="TableText"/>
              <w:spacing w:before="273" w:line="181" w:lineRule="auto"/>
              <w:ind w:left="1262"/>
              <w:rPr>
                <w:rFonts w:ascii="Times New Roman" w:hAnsi="Times New Roman" w:cs="Times New Roman"/>
              </w:rPr>
            </w:pPr>
            <w:r w:rsidRPr="00C3765C">
              <w:rPr>
                <w:rFonts w:ascii="Times New Roman" w:hAnsi="Times New Roman" w:cs="Times New Roman"/>
                <w:spacing w:val="-3"/>
              </w:rPr>
              <w:t>9.07</w:t>
            </w:r>
          </w:p>
        </w:tc>
      </w:tr>
      <w:tr w:rsidR="000914CF" w:rsidRPr="00C3765C" w14:paraId="6882BC33" w14:textId="77777777" w:rsidTr="000914CF">
        <w:trPr>
          <w:trHeight w:val="628"/>
        </w:trPr>
        <w:tc>
          <w:tcPr>
            <w:tcW w:w="2985" w:type="dxa"/>
          </w:tcPr>
          <w:p w14:paraId="058A41B8" w14:textId="77777777" w:rsidR="000914CF" w:rsidRPr="00C3765C" w:rsidRDefault="000914CF" w:rsidP="000914CF">
            <w:pPr>
              <w:pStyle w:val="TableText"/>
              <w:spacing w:before="35" w:line="224" w:lineRule="auto"/>
              <w:ind w:left="136" w:right="109" w:hanging="10"/>
              <w:rPr>
                <w:rFonts w:ascii="Times New Roman" w:hAnsi="Times New Roman" w:cs="Times New Roman"/>
              </w:rPr>
            </w:pPr>
            <w:r w:rsidRPr="00C3765C">
              <w:rPr>
                <w:rFonts w:ascii="Times New Roman" w:hAnsi="Times New Roman" w:cs="Times New Roman"/>
                <w:spacing w:val="-4"/>
              </w:rPr>
              <w:t>Owner</w:t>
            </w:r>
            <w:r>
              <w:rPr>
                <w:rFonts w:ascii="Times New Roman" w:hAnsi="Times New Roman" w:cs="Times New Roman"/>
                <w:spacing w:val="-4"/>
              </w:rPr>
              <w:t>’</w:t>
            </w:r>
            <w:r w:rsidRPr="00C3765C">
              <w:rPr>
                <w:rFonts w:ascii="Times New Roman" w:hAnsi="Times New Roman" w:cs="Times New Roman"/>
                <w:spacing w:val="-4"/>
              </w:rPr>
              <w:t>s equity attributable to the ordinary shareholders of the parent company</w:t>
            </w:r>
          </w:p>
        </w:tc>
        <w:tc>
          <w:tcPr>
            <w:tcW w:w="2226" w:type="dxa"/>
          </w:tcPr>
          <w:p w14:paraId="2407E352" w14:textId="77777777" w:rsidR="000914CF" w:rsidRPr="00C3765C" w:rsidRDefault="000914CF" w:rsidP="000914CF">
            <w:pPr>
              <w:pStyle w:val="TableText"/>
              <w:spacing w:before="266" w:line="181" w:lineRule="auto"/>
              <w:ind w:left="1286"/>
              <w:rPr>
                <w:rFonts w:ascii="Times New Roman" w:hAnsi="Times New Roman" w:cs="Times New Roman"/>
              </w:rPr>
            </w:pPr>
            <w:r w:rsidRPr="00C3765C">
              <w:rPr>
                <w:rFonts w:ascii="Times New Roman" w:hAnsi="Times New Roman" w:cs="Times New Roman"/>
                <w:spacing w:val="-2"/>
              </w:rPr>
              <w:t>660,385</w:t>
            </w:r>
          </w:p>
        </w:tc>
        <w:tc>
          <w:tcPr>
            <w:tcW w:w="2130" w:type="dxa"/>
          </w:tcPr>
          <w:p w14:paraId="5DA89276" w14:textId="77777777" w:rsidR="000914CF" w:rsidRPr="00C3765C" w:rsidRDefault="000914CF" w:rsidP="000914CF">
            <w:pPr>
              <w:pStyle w:val="TableText"/>
              <w:spacing w:before="266" w:line="181" w:lineRule="auto"/>
              <w:ind w:left="1195"/>
              <w:rPr>
                <w:rFonts w:ascii="Times New Roman" w:hAnsi="Times New Roman" w:cs="Times New Roman"/>
              </w:rPr>
            </w:pPr>
            <w:r w:rsidRPr="00C3765C">
              <w:rPr>
                <w:rFonts w:ascii="Times New Roman" w:hAnsi="Times New Roman" w:cs="Times New Roman"/>
                <w:spacing w:val="-2"/>
              </w:rPr>
              <w:t>598,309</w:t>
            </w:r>
          </w:p>
        </w:tc>
        <w:tc>
          <w:tcPr>
            <w:tcW w:w="1845" w:type="dxa"/>
          </w:tcPr>
          <w:p w14:paraId="27079242" w14:textId="77777777" w:rsidR="000914CF" w:rsidRPr="00C3765C" w:rsidRDefault="000914CF" w:rsidP="000914CF">
            <w:pPr>
              <w:pStyle w:val="TableText"/>
              <w:spacing w:before="265" w:line="182" w:lineRule="auto"/>
              <w:ind w:left="1159"/>
              <w:rPr>
                <w:rFonts w:ascii="Times New Roman" w:hAnsi="Times New Roman" w:cs="Times New Roman"/>
              </w:rPr>
            </w:pPr>
            <w:r w:rsidRPr="00C3765C">
              <w:rPr>
                <w:rFonts w:ascii="Times New Roman" w:hAnsi="Times New Roman" w:cs="Times New Roman"/>
                <w:spacing w:val="-6"/>
              </w:rPr>
              <w:t>10.38</w:t>
            </w:r>
          </w:p>
        </w:tc>
      </w:tr>
      <w:tr w:rsidR="000914CF" w:rsidRPr="00C3765C" w14:paraId="10DCBEC7" w14:textId="77777777" w:rsidTr="000914CF">
        <w:trPr>
          <w:trHeight w:val="496"/>
        </w:trPr>
        <w:tc>
          <w:tcPr>
            <w:tcW w:w="2985" w:type="dxa"/>
          </w:tcPr>
          <w:p w14:paraId="7A7AE2A4" w14:textId="77777777" w:rsidR="000914CF" w:rsidRPr="00C3765C" w:rsidRDefault="000914CF" w:rsidP="000914CF">
            <w:pPr>
              <w:pStyle w:val="TableText"/>
              <w:spacing w:before="161" w:line="219" w:lineRule="auto"/>
              <w:ind w:left="116"/>
              <w:rPr>
                <w:rFonts w:ascii="Times New Roman" w:hAnsi="Times New Roman" w:cs="Times New Roman"/>
              </w:rPr>
            </w:pPr>
            <w:r w:rsidRPr="00C3765C">
              <w:rPr>
                <w:rFonts w:ascii="Times New Roman" w:hAnsi="Times New Roman" w:cs="Times New Roman"/>
                <w:spacing w:val="-2"/>
              </w:rPr>
              <w:t>Ordinary share capital</w:t>
            </w:r>
          </w:p>
        </w:tc>
        <w:tc>
          <w:tcPr>
            <w:tcW w:w="2226" w:type="dxa"/>
          </w:tcPr>
          <w:p w14:paraId="57559FEB" w14:textId="77777777" w:rsidR="000914CF" w:rsidRPr="00C3765C" w:rsidRDefault="000914CF" w:rsidP="000914CF">
            <w:pPr>
              <w:pStyle w:val="TableText"/>
              <w:spacing w:before="202" w:line="181" w:lineRule="auto"/>
              <w:ind w:left="1407"/>
              <w:rPr>
                <w:rFonts w:ascii="Times New Roman" w:hAnsi="Times New Roman" w:cs="Times New Roman"/>
              </w:rPr>
            </w:pPr>
            <w:r w:rsidRPr="00C3765C">
              <w:rPr>
                <w:rFonts w:ascii="Times New Roman" w:hAnsi="Times New Roman" w:cs="Times New Roman"/>
                <w:spacing w:val="-3"/>
              </w:rPr>
              <w:t>20,774</w:t>
            </w:r>
          </w:p>
        </w:tc>
        <w:tc>
          <w:tcPr>
            <w:tcW w:w="2130" w:type="dxa"/>
          </w:tcPr>
          <w:p w14:paraId="0AE4DB68" w14:textId="77777777" w:rsidR="000914CF" w:rsidRPr="00C3765C" w:rsidRDefault="000914CF" w:rsidP="000914CF">
            <w:pPr>
              <w:pStyle w:val="TableText"/>
              <w:spacing w:before="202" w:line="181" w:lineRule="auto"/>
              <w:ind w:left="1313"/>
              <w:rPr>
                <w:rFonts w:ascii="Times New Roman" w:hAnsi="Times New Roman" w:cs="Times New Roman"/>
              </w:rPr>
            </w:pPr>
            <w:r w:rsidRPr="00C3765C">
              <w:rPr>
                <w:rFonts w:ascii="Times New Roman" w:hAnsi="Times New Roman" w:cs="Times New Roman"/>
                <w:spacing w:val="-2"/>
              </w:rPr>
              <w:t>20,774</w:t>
            </w:r>
          </w:p>
        </w:tc>
        <w:tc>
          <w:tcPr>
            <w:tcW w:w="1845" w:type="dxa"/>
          </w:tcPr>
          <w:p w14:paraId="08C1E0E1" w14:textId="77777777" w:rsidR="000914CF" w:rsidRPr="00C3765C" w:rsidRDefault="000914CF" w:rsidP="000914CF">
            <w:pPr>
              <w:tabs>
                <w:tab w:val="left" w:pos="1731"/>
              </w:tabs>
              <w:spacing w:before="83" w:line="242" w:lineRule="exact"/>
              <w:ind w:left="1619"/>
              <w:rPr>
                <w:rFonts w:ascii="Times New Roman" w:hAnsi="Times New Roman" w:cs="Times New Roman"/>
              </w:rPr>
            </w:pPr>
            <w:r w:rsidRPr="00C3765C">
              <w:rPr>
                <w:rFonts w:ascii="Times New Roman" w:hAnsi="Times New Roman" w:cs="Times New Roman"/>
                <w:u w:val="single"/>
              </w:rPr>
              <w:tab/>
            </w:r>
          </w:p>
        </w:tc>
      </w:tr>
      <w:tr w:rsidR="000914CF" w:rsidRPr="00C3765C" w14:paraId="31598258" w14:textId="77777777" w:rsidTr="000914CF">
        <w:trPr>
          <w:trHeight w:val="625"/>
        </w:trPr>
        <w:tc>
          <w:tcPr>
            <w:tcW w:w="2985" w:type="dxa"/>
          </w:tcPr>
          <w:p w14:paraId="7F8FA41E" w14:textId="77777777" w:rsidR="000914CF" w:rsidRPr="00C3765C" w:rsidRDefault="000914CF" w:rsidP="000914CF">
            <w:pPr>
              <w:pStyle w:val="TableText"/>
              <w:spacing w:before="35" w:line="223" w:lineRule="auto"/>
              <w:ind w:left="117" w:right="109" w:firstLine="9"/>
              <w:rPr>
                <w:rFonts w:ascii="Times New Roman" w:hAnsi="Times New Roman" w:cs="Times New Roman"/>
              </w:rPr>
            </w:pPr>
            <w:r w:rsidRPr="00C3765C">
              <w:rPr>
                <w:rFonts w:ascii="Times New Roman" w:hAnsi="Times New Roman" w:cs="Times New Roman"/>
                <w:spacing w:val="-2"/>
              </w:rPr>
              <w:t>Net assets per share attributable to the ordinary shareholders of the parent company</w:t>
            </w:r>
          </w:p>
        </w:tc>
        <w:tc>
          <w:tcPr>
            <w:tcW w:w="2226" w:type="dxa"/>
          </w:tcPr>
          <w:p w14:paraId="44980C35" w14:textId="77777777" w:rsidR="000914CF" w:rsidRPr="00C3765C" w:rsidRDefault="000914CF" w:rsidP="000914CF">
            <w:pPr>
              <w:pStyle w:val="TableText"/>
              <w:spacing w:before="266" w:line="182" w:lineRule="auto"/>
              <w:ind w:left="1529"/>
              <w:rPr>
                <w:rFonts w:ascii="Times New Roman" w:hAnsi="Times New Roman" w:cs="Times New Roman"/>
              </w:rPr>
            </w:pPr>
            <w:r w:rsidRPr="00C3765C">
              <w:rPr>
                <w:rFonts w:ascii="Times New Roman" w:hAnsi="Times New Roman" w:cs="Times New Roman"/>
                <w:spacing w:val="-3"/>
              </w:rPr>
              <w:t>31.79</w:t>
            </w:r>
          </w:p>
        </w:tc>
        <w:tc>
          <w:tcPr>
            <w:tcW w:w="2130" w:type="dxa"/>
          </w:tcPr>
          <w:p w14:paraId="18192A18" w14:textId="77777777" w:rsidR="000914CF" w:rsidRPr="00C3765C" w:rsidRDefault="000914CF" w:rsidP="000914CF">
            <w:pPr>
              <w:pStyle w:val="TableText"/>
              <w:spacing w:before="268" w:line="181" w:lineRule="auto"/>
              <w:ind w:left="1433"/>
              <w:rPr>
                <w:rFonts w:ascii="Times New Roman" w:hAnsi="Times New Roman" w:cs="Times New Roman"/>
              </w:rPr>
            </w:pPr>
            <w:r w:rsidRPr="00C3765C">
              <w:rPr>
                <w:rFonts w:ascii="Times New Roman" w:hAnsi="Times New Roman" w:cs="Times New Roman"/>
                <w:spacing w:val="-2"/>
              </w:rPr>
              <w:t>28.80</w:t>
            </w:r>
          </w:p>
        </w:tc>
        <w:tc>
          <w:tcPr>
            <w:tcW w:w="1845" w:type="dxa"/>
          </w:tcPr>
          <w:p w14:paraId="18709038" w14:textId="77777777" w:rsidR="000914CF" w:rsidRPr="00C3765C" w:rsidRDefault="000914CF" w:rsidP="000914CF">
            <w:pPr>
              <w:pStyle w:val="TableText"/>
              <w:spacing w:before="266" w:line="182" w:lineRule="auto"/>
              <w:ind w:left="1159"/>
              <w:rPr>
                <w:rFonts w:ascii="Times New Roman" w:hAnsi="Times New Roman" w:cs="Times New Roman"/>
              </w:rPr>
            </w:pPr>
            <w:r w:rsidRPr="00C3765C">
              <w:rPr>
                <w:rFonts w:ascii="Times New Roman" w:hAnsi="Times New Roman" w:cs="Times New Roman"/>
                <w:spacing w:val="-6"/>
              </w:rPr>
              <w:t>10.38</w:t>
            </w:r>
          </w:p>
        </w:tc>
      </w:tr>
      <w:tr w:rsidR="000914CF" w:rsidRPr="00C3765C" w14:paraId="1D5603EE" w14:textId="77777777" w:rsidTr="000914CF">
        <w:trPr>
          <w:trHeight w:val="896"/>
        </w:trPr>
        <w:tc>
          <w:tcPr>
            <w:tcW w:w="2985" w:type="dxa"/>
          </w:tcPr>
          <w:p w14:paraId="51EA472E" w14:textId="77777777" w:rsidR="000914CF" w:rsidRPr="00C3765C" w:rsidRDefault="000914CF" w:rsidP="000914CF">
            <w:pPr>
              <w:spacing w:line="282" w:lineRule="auto"/>
              <w:rPr>
                <w:rFonts w:ascii="Times New Roman" w:hAnsi="Times New Roman" w:cs="Times New Roman"/>
              </w:rPr>
            </w:pPr>
          </w:p>
          <w:p w14:paraId="23B9880E" w14:textId="77777777" w:rsidR="000914CF" w:rsidRPr="00C3765C" w:rsidRDefault="000914CF" w:rsidP="000914CF">
            <w:pPr>
              <w:pStyle w:val="TableText"/>
              <w:spacing w:before="78" w:line="220" w:lineRule="auto"/>
              <w:ind w:left="121"/>
              <w:rPr>
                <w:rFonts w:ascii="Times New Roman" w:hAnsi="Times New Roman" w:cs="Times New Roman"/>
              </w:rPr>
            </w:pPr>
            <w:r w:rsidRPr="00C3765C">
              <w:rPr>
                <w:rFonts w:ascii="Times New Roman" w:hAnsi="Times New Roman" w:cs="Times New Roman"/>
                <w:spacing w:val="-2"/>
              </w:rPr>
              <w:t>Non-performing loans (NPL) ratio (&amp;)</w:t>
            </w:r>
          </w:p>
        </w:tc>
        <w:tc>
          <w:tcPr>
            <w:tcW w:w="2226" w:type="dxa"/>
          </w:tcPr>
          <w:p w14:paraId="1FA53A7C" w14:textId="77777777" w:rsidR="000914CF" w:rsidRPr="00C3765C" w:rsidRDefault="000914CF" w:rsidP="000914CF">
            <w:pPr>
              <w:spacing w:line="324" w:lineRule="auto"/>
              <w:rPr>
                <w:rFonts w:ascii="Times New Roman" w:hAnsi="Times New Roman" w:cs="Times New Roman"/>
              </w:rPr>
            </w:pPr>
          </w:p>
          <w:p w14:paraId="20C15FC5" w14:textId="77777777" w:rsidR="000914CF" w:rsidRPr="00C3765C" w:rsidRDefault="000914CF" w:rsidP="000914CF">
            <w:pPr>
              <w:pStyle w:val="TableText"/>
              <w:spacing w:before="78" w:line="182" w:lineRule="auto"/>
              <w:ind w:left="1662"/>
              <w:rPr>
                <w:rFonts w:ascii="Times New Roman" w:hAnsi="Times New Roman" w:cs="Times New Roman"/>
              </w:rPr>
            </w:pPr>
            <w:r w:rsidRPr="00C3765C">
              <w:rPr>
                <w:rFonts w:ascii="Times New Roman" w:hAnsi="Times New Roman" w:cs="Times New Roman"/>
                <w:spacing w:val="-7"/>
              </w:rPr>
              <w:t>1.09</w:t>
            </w:r>
          </w:p>
        </w:tc>
        <w:tc>
          <w:tcPr>
            <w:tcW w:w="2130" w:type="dxa"/>
          </w:tcPr>
          <w:p w14:paraId="3583CF4D" w14:textId="77777777" w:rsidR="000914CF" w:rsidRPr="00C3765C" w:rsidRDefault="000914CF" w:rsidP="000914CF">
            <w:pPr>
              <w:spacing w:line="324" w:lineRule="auto"/>
              <w:rPr>
                <w:rFonts w:ascii="Times New Roman" w:hAnsi="Times New Roman" w:cs="Times New Roman"/>
              </w:rPr>
            </w:pPr>
          </w:p>
          <w:p w14:paraId="1CB4826F" w14:textId="77777777" w:rsidR="000914CF" w:rsidRPr="00C3765C" w:rsidRDefault="000914CF" w:rsidP="000914CF">
            <w:pPr>
              <w:pStyle w:val="TableText"/>
              <w:spacing w:before="78" w:line="182" w:lineRule="auto"/>
              <w:ind w:left="1568"/>
              <w:rPr>
                <w:rFonts w:ascii="Times New Roman" w:hAnsi="Times New Roman" w:cs="Times New Roman"/>
              </w:rPr>
            </w:pPr>
            <w:r w:rsidRPr="00C3765C">
              <w:rPr>
                <w:rFonts w:ascii="Times New Roman" w:hAnsi="Times New Roman" w:cs="Times New Roman"/>
                <w:spacing w:val="-6"/>
              </w:rPr>
              <w:t>1.10</w:t>
            </w:r>
          </w:p>
        </w:tc>
        <w:tc>
          <w:tcPr>
            <w:tcW w:w="1845" w:type="dxa"/>
          </w:tcPr>
          <w:p w14:paraId="53FC9E69" w14:textId="77777777" w:rsidR="000914CF" w:rsidRPr="00C3765C" w:rsidRDefault="000914CF" w:rsidP="000914CF">
            <w:pPr>
              <w:pStyle w:val="TableText"/>
              <w:spacing w:before="78" w:line="182" w:lineRule="auto"/>
              <w:rPr>
                <w:rFonts w:ascii="Times New Roman" w:hAnsi="Times New Roman" w:cs="Times New Roman"/>
              </w:rPr>
            </w:pPr>
            <w:r w:rsidRPr="00C3765C">
              <w:rPr>
                <w:rFonts w:ascii="Times New Roman" w:hAnsi="Times New Roman" w:cs="Times New Roman"/>
                <w:spacing w:val="-5"/>
                <w:lang w:eastAsia="zh-CN"/>
              </w:rPr>
              <w:t>Down</w:t>
            </w:r>
            <w:r w:rsidRPr="00C3765C">
              <w:rPr>
                <w:rFonts w:ascii="Times New Roman" w:hAnsi="Times New Roman" w:cs="Times New Roman"/>
                <w:spacing w:val="-5"/>
              </w:rPr>
              <w:t xml:space="preserve"> 0.0</w:t>
            </w:r>
            <w:r w:rsidRPr="00C3765C">
              <w:rPr>
                <w:rFonts w:ascii="Times New Roman" w:hAnsi="Times New Roman" w:cs="Times New Roman"/>
                <w:spacing w:val="-5"/>
                <w:lang w:eastAsia="zh-CN"/>
              </w:rPr>
              <w:t>1 percentage points</w:t>
            </w:r>
          </w:p>
        </w:tc>
      </w:tr>
      <w:tr w:rsidR="000914CF" w:rsidRPr="00C3765C" w14:paraId="335C037F" w14:textId="77777777" w:rsidTr="000914CF">
        <w:trPr>
          <w:trHeight w:val="901"/>
        </w:trPr>
        <w:tc>
          <w:tcPr>
            <w:tcW w:w="2985" w:type="dxa"/>
          </w:tcPr>
          <w:p w14:paraId="07E17684" w14:textId="77777777" w:rsidR="000914CF" w:rsidRPr="00C3765C" w:rsidRDefault="000914CF" w:rsidP="000914CF">
            <w:pPr>
              <w:spacing w:line="284" w:lineRule="auto"/>
              <w:rPr>
                <w:rFonts w:ascii="Times New Roman" w:hAnsi="Times New Roman" w:cs="Times New Roman"/>
              </w:rPr>
            </w:pPr>
          </w:p>
          <w:p w14:paraId="6F8C4A24" w14:textId="77777777" w:rsidR="000914CF" w:rsidRPr="00C3765C" w:rsidRDefault="000914CF" w:rsidP="000914CF">
            <w:pPr>
              <w:pStyle w:val="TableText"/>
              <w:spacing w:before="78" w:line="220" w:lineRule="auto"/>
              <w:ind w:left="119"/>
              <w:rPr>
                <w:rFonts w:ascii="Times New Roman" w:hAnsi="Times New Roman" w:cs="Times New Roman"/>
                <w:spacing w:val="-2"/>
              </w:rPr>
            </w:pPr>
            <w:r w:rsidRPr="00C3765C">
              <w:rPr>
                <w:rFonts w:ascii="Times New Roman" w:hAnsi="Times New Roman" w:cs="Times New Roman"/>
                <w:spacing w:val="-2"/>
              </w:rPr>
              <w:t>Provision coverage (%)</w:t>
            </w:r>
          </w:p>
        </w:tc>
        <w:tc>
          <w:tcPr>
            <w:tcW w:w="2226" w:type="dxa"/>
          </w:tcPr>
          <w:p w14:paraId="74053D03" w14:textId="77777777" w:rsidR="000914CF" w:rsidRPr="00C3765C" w:rsidRDefault="000914CF" w:rsidP="000914CF">
            <w:pPr>
              <w:spacing w:line="327" w:lineRule="auto"/>
              <w:rPr>
                <w:rFonts w:ascii="Times New Roman" w:hAnsi="Times New Roman" w:cs="Times New Roman"/>
              </w:rPr>
            </w:pPr>
          </w:p>
          <w:p w14:paraId="080298B3" w14:textId="77777777" w:rsidR="000914CF" w:rsidRPr="00C3765C" w:rsidRDefault="000914CF" w:rsidP="000914CF">
            <w:pPr>
              <w:pStyle w:val="TableText"/>
              <w:spacing w:before="78" w:line="181" w:lineRule="auto"/>
              <w:ind w:left="1407"/>
              <w:rPr>
                <w:rFonts w:ascii="Times New Roman" w:hAnsi="Times New Roman" w:cs="Times New Roman"/>
              </w:rPr>
            </w:pPr>
            <w:r w:rsidRPr="00C3765C">
              <w:rPr>
                <w:rFonts w:ascii="Times New Roman" w:hAnsi="Times New Roman" w:cs="Times New Roman"/>
                <w:spacing w:val="-3"/>
              </w:rPr>
              <w:t>236.44</w:t>
            </w:r>
          </w:p>
        </w:tc>
        <w:tc>
          <w:tcPr>
            <w:tcW w:w="2130" w:type="dxa"/>
          </w:tcPr>
          <w:p w14:paraId="66A8C133" w14:textId="77777777" w:rsidR="000914CF" w:rsidRPr="00C3765C" w:rsidRDefault="000914CF" w:rsidP="000914CF">
            <w:pPr>
              <w:spacing w:line="327" w:lineRule="auto"/>
              <w:rPr>
                <w:rFonts w:ascii="Times New Roman" w:hAnsi="Times New Roman" w:cs="Times New Roman"/>
              </w:rPr>
            </w:pPr>
          </w:p>
          <w:p w14:paraId="7308A7E0" w14:textId="77777777" w:rsidR="000914CF" w:rsidRPr="00C3765C" w:rsidRDefault="000914CF" w:rsidP="000914CF">
            <w:pPr>
              <w:pStyle w:val="TableText"/>
              <w:spacing w:before="78" w:line="181" w:lineRule="auto"/>
              <w:ind w:left="1313"/>
              <w:rPr>
                <w:rFonts w:ascii="Times New Roman" w:hAnsi="Times New Roman" w:cs="Times New Roman"/>
              </w:rPr>
            </w:pPr>
            <w:r w:rsidRPr="00C3765C">
              <w:rPr>
                <w:rFonts w:ascii="Times New Roman" w:hAnsi="Times New Roman" w:cs="Times New Roman"/>
                <w:spacing w:val="-2"/>
              </w:rPr>
              <w:t>268.73</w:t>
            </w:r>
          </w:p>
        </w:tc>
        <w:tc>
          <w:tcPr>
            <w:tcW w:w="1845" w:type="dxa"/>
          </w:tcPr>
          <w:p w14:paraId="2E1D4139" w14:textId="77777777" w:rsidR="000914CF" w:rsidRPr="00C3765C" w:rsidRDefault="000914CF" w:rsidP="000914CF">
            <w:pPr>
              <w:pStyle w:val="TableText"/>
              <w:spacing w:before="78" w:line="182" w:lineRule="auto"/>
              <w:rPr>
                <w:rFonts w:ascii="Times New Roman" w:hAnsi="Times New Roman" w:cs="Times New Roman"/>
              </w:rPr>
            </w:pPr>
            <w:r w:rsidRPr="00C3765C">
              <w:rPr>
                <w:rFonts w:ascii="Times New Roman" w:hAnsi="Times New Roman" w:cs="Times New Roman"/>
                <w:spacing w:val="-5"/>
                <w:lang w:eastAsia="zh-CN"/>
              </w:rPr>
              <w:t>Down 32.29 percentage points</w:t>
            </w:r>
          </w:p>
        </w:tc>
      </w:tr>
    </w:tbl>
    <w:p w14:paraId="4A7226DE" w14:textId="77777777" w:rsidR="0069687E" w:rsidRPr="00C3765C" w:rsidRDefault="0069687E">
      <w:pPr>
        <w:spacing w:before="1" w:line="14" w:lineRule="auto"/>
        <w:rPr>
          <w:rFonts w:ascii="Times New Roman" w:hAnsi="Times New Roman" w:cs="Times New Roman"/>
          <w:sz w:val="2"/>
        </w:rPr>
      </w:pPr>
    </w:p>
    <w:p w14:paraId="184A01B2" w14:textId="77777777" w:rsidR="0069687E" w:rsidRPr="00C3765C" w:rsidRDefault="0069687E">
      <w:pPr>
        <w:spacing w:line="14" w:lineRule="auto"/>
        <w:rPr>
          <w:rFonts w:ascii="Times New Roman" w:hAnsi="Times New Roman" w:cs="Times New Roman"/>
          <w:sz w:val="2"/>
          <w:szCs w:val="2"/>
        </w:rPr>
        <w:sectPr w:rsidR="0069687E" w:rsidRPr="00C3765C">
          <w:footerReference w:type="default" r:id="rId6"/>
          <w:type w:val="continuous"/>
          <w:pgSz w:w="11907" w:h="16839"/>
          <w:pgMar w:top="1228" w:right="1356" w:bottom="1362" w:left="1358" w:header="0" w:footer="1202" w:gutter="0"/>
          <w:cols w:space="720" w:equalWidth="0">
            <w:col w:w="9192"/>
          </w:cols>
        </w:sectPr>
      </w:pPr>
    </w:p>
    <w:p w14:paraId="613378C0" w14:textId="4ADFA333" w:rsidR="0069687E" w:rsidRPr="00C3765C" w:rsidRDefault="00000000">
      <w:pPr>
        <w:pStyle w:val="a3"/>
        <w:spacing w:line="221" w:lineRule="auto"/>
        <w:ind w:left="181" w:firstLineChars="200" w:firstLine="400"/>
        <w:rPr>
          <w:rFonts w:ascii="Times New Roman" w:hAnsi="Times New Roman" w:cs="Times New Roman"/>
          <w:sz w:val="21"/>
          <w:szCs w:val="21"/>
          <w:lang w:eastAsia="zh-CN"/>
        </w:rPr>
      </w:pPr>
      <w:r w:rsidRPr="00C3765C">
        <w:rPr>
          <w:rFonts w:ascii="Times New Roman" w:hAnsi="Times New Roman" w:cs="Times New Roman"/>
          <w:sz w:val="20"/>
        </w:rPr>
        <w:lastRenderedPageBreak/>
        <w:t>Note: Earnings per share and weighted average return on net assets are calculated in accordance with the</w:t>
      </w:r>
      <w:r w:rsidRPr="00C3765C">
        <w:rPr>
          <w:rFonts w:ascii="Times New Roman" w:eastAsia="??" w:hAnsi="Times New Roman" w:cs="Times New Roman"/>
          <w:sz w:val="20"/>
        </w:rPr>
        <w:t xml:space="preserve"> </w:t>
      </w:r>
      <w:r w:rsidRPr="004F7479">
        <w:rPr>
          <w:rFonts w:ascii="Times New Roman" w:eastAsia="??" w:hAnsi="Times New Roman" w:cs="Times New Roman"/>
          <w:i/>
          <w:iCs/>
          <w:spacing w:val="-1"/>
          <w:sz w:val="21"/>
        </w:rPr>
        <w:t>Rules for the Information Disclosure and Reporting of Companies Offering Securities to the Public N</w:t>
      </w:r>
      <w:r w:rsidRPr="004F7479">
        <w:rPr>
          <w:rFonts w:ascii="Times New Roman" w:eastAsia="??" w:hAnsi="Times New Roman" w:cs="Times New Roman"/>
          <w:i/>
          <w:iCs/>
          <w:spacing w:val="-1"/>
          <w:sz w:val="20"/>
        </w:rPr>
        <w:t>o.9: Calculation and Disclosure of Return on Net Assets and Earnings per Share</w:t>
      </w:r>
      <w:r w:rsidRPr="004F7479">
        <w:rPr>
          <w:rFonts w:ascii="Times New Roman" w:eastAsia="??" w:hAnsi="Times New Roman" w:cs="Times New Roman"/>
          <w:i/>
          <w:iCs/>
          <w:sz w:val="20"/>
        </w:rPr>
        <w:t xml:space="preserve"> (Revised in 2010)</w:t>
      </w:r>
      <w:r w:rsidRPr="00C3765C">
        <w:rPr>
          <w:rFonts w:ascii="Times New Roman" w:eastAsia="??" w:hAnsi="Times New Roman" w:cs="Times New Roman"/>
          <w:sz w:val="20"/>
        </w:rPr>
        <w:t xml:space="preserve">, taking into consideration the impact of the dividends of preferred stocks and the issuance of interest on </w:t>
      </w:r>
      <w:r w:rsidR="00053388">
        <w:rPr>
          <w:rFonts w:ascii="Times New Roman" w:eastAsia="??" w:hAnsi="Times New Roman" w:cs="Times New Roman"/>
          <w:sz w:val="20"/>
        </w:rPr>
        <w:t>perpetual</w:t>
      </w:r>
      <w:r w:rsidRPr="00C3765C">
        <w:rPr>
          <w:rFonts w:ascii="Times New Roman" w:eastAsia="??" w:hAnsi="Times New Roman" w:cs="Times New Roman"/>
          <w:sz w:val="20"/>
        </w:rPr>
        <w:t xml:space="preserve"> bonds</w:t>
      </w:r>
      <w:r w:rsidRPr="00C3765C">
        <w:rPr>
          <w:rFonts w:ascii="Times New Roman" w:hAnsi="Times New Roman" w:cs="Times New Roman"/>
          <w:sz w:val="20"/>
          <w:lang w:eastAsia="zh-CN"/>
        </w:rPr>
        <w:t>.</w:t>
      </w:r>
    </w:p>
    <w:p w14:paraId="0EAC58EF" w14:textId="77777777" w:rsidR="0069687E" w:rsidRPr="00C3765C" w:rsidRDefault="0069687E">
      <w:pPr>
        <w:spacing w:line="443" w:lineRule="auto"/>
        <w:rPr>
          <w:rFonts w:ascii="Times New Roman" w:eastAsia="宋体" w:hAnsi="Times New Roman" w:cs="Times New Roman"/>
          <w:spacing w:val="-4"/>
          <w:sz w:val="24"/>
          <w:szCs w:val="24"/>
        </w:rPr>
      </w:pPr>
    </w:p>
    <w:p w14:paraId="6D3B966C" w14:textId="77777777" w:rsidR="0069687E" w:rsidRPr="00C3765C" w:rsidRDefault="00000000">
      <w:pPr>
        <w:pStyle w:val="a3"/>
        <w:spacing w:before="182" w:line="360" w:lineRule="auto"/>
        <w:ind w:right="173"/>
        <w:rPr>
          <w:rFonts w:ascii="Times New Roman" w:hAnsi="Times New Roman" w:cs="Times New Roman"/>
          <w:b/>
          <w:bCs/>
          <w:lang w:eastAsia="zh-CN"/>
        </w:rPr>
      </w:pPr>
      <w:r w:rsidRPr="00C3765C">
        <w:rPr>
          <w:rFonts w:ascii="Times New Roman" w:hAnsi="Times New Roman" w:cs="Times New Roman"/>
          <w:b/>
          <w:bCs/>
          <w:lang w:eastAsia="zh-CN"/>
        </w:rPr>
        <w:t>II. Explanations on Business Performance and Financial Conditions</w:t>
      </w:r>
    </w:p>
    <w:p w14:paraId="220690F7" w14:textId="1CAE22D2" w:rsidR="0069687E" w:rsidRPr="00053388" w:rsidRDefault="00000000" w:rsidP="00053388">
      <w:pPr>
        <w:pStyle w:val="a3"/>
        <w:spacing w:before="1" w:line="219" w:lineRule="auto"/>
        <w:ind w:left="24" w:firstLineChars="200" w:firstLine="468"/>
        <w:rPr>
          <w:rFonts w:ascii="Times New Roman" w:hAnsi="Times New Roman" w:cs="Times New Roman"/>
          <w:spacing w:val="-3"/>
          <w:position w:val="17"/>
          <w:lang w:eastAsia="zh-CN"/>
        </w:rPr>
      </w:pPr>
      <w:r w:rsidRPr="00053388">
        <w:rPr>
          <w:rFonts w:ascii="Times New Roman" w:hAnsi="Times New Roman" w:cs="Times New Roman"/>
          <w:spacing w:val="-3"/>
          <w:position w:val="17"/>
          <w:lang w:eastAsia="zh-CN"/>
        </w:rPr>
        <w:t>During the reporting period, the Company has diligent implemented the spirit of the 20</w:t>
      </w:r>
      <w:r w:rsidRPr="004E1E85">
        <w:rPr>
          <w:rFonts w:ascii="Times New Roman" w:hAnsi="Times New Roman" w:cs="Times New Roman"/>
          <w:spacing w:val="-3"/>
          <w:position w:val="17"/>
          <w:vertAlign w:val="superscript"/>
          <w:lang w:eastAsia="zh-CN"/>
        </w:rPr>
        <w:t>th</w:t>
      </w:r>
      <w:r w:rsidRPr="00053388">
        <w:rPr>
          <w:rFonts w:ascii="Times New Roman" w:hAnsi="Times New Roman" w:cs="Times New Roman"/>
          <w:spacing w:val="-3"/>
          <w:position w:val="17"/>
          <w:lang w:eastAsia="zh-CN"/>
        </w:rPr>
        <w:t xml:space="preserve"> CPC National Congress, made steadfast efforts to materialize the </w:t>
      </w:r>
      <w:r w:rsidR="003D4673" w:rsidRPr="00053388">
        <w:rPr>
          <w:rFonts w:ascii="Times New Roman" w:hAnsi="Times New Roman" w:cs="Times New Roman"/>
          <w:spacing w:val="-3"/>
          <w:position w:val="17"/>
          <w:lang w:eastAsia="zh-CN"/>
        </w:rPr>
        <w:t>“</w:t>
      </w:r>
      <w:r w:rsidRPr="00053388">
        <w:rPr>
          <w:rFonts w:ascii="Times New Roman" w:hAnsi="Times New Roman" w:cs="Times New Roman"/>
          <w:spacing w:val="-3"/>
          <w:position w:val="17"/>
          <w:lang w:eastAsia="zh-CN"/>
        </w:rPr>
        <w:t>1234</w:t>
      </w:r>
      <w:r w:rsidR="003D4673" w:rsidRPr="00053388">
        <w:rPr>
          <w:rFonts w:ascii="Times New Roman" w:hAnsi="Times New Roman" w:cs="Times New Roman"/>
          <w:spacing w:val="-3"/>
          <w:position w:val="17"/>
          <w:lang w:eastAsia="zh-CN"/>
        </w:rPr>
        <w:t>”</w:t>
      </w:r>
      <w:r w:rsidRPr="00053388">
        <w:rPr>
          <w:rFonts w:ascii="Times New Roman" w:hAnsi="Times New Roman" w:cs="Times New Roman"/>
          <w:spacing w:val="-3"/>
          <w:position w:val="17"/>
          <w:lang w:eastAsia="zh-CN"/>
        </w:rPr>
        <w:t xml:space="preserve"> blueprint, effectively coped with a complex market, spared no efforts to serve the real economy, and supported financial system stability. The Company has achieved business expansion and robust improvement in terms of efficiency and quality and made steady strides in its high-quality development.</w:t>
      </w:r>
    </w:p>
    <w:p w14:paraId="2A2256DD" w14:textId="3E86FB71" w:rsidR="0069687E" w:rsidRPr="001A4B22" w:rsidRDefault="00000000" w:rsidP="001A4B22">
      <w:pPr>
        <w:pStyle w:val="a3"/>
        <w:spacing w:before="1" w:line="219" w:lineRule="auto"/>
        <w:ind w:left="24" w:firstLineChars="200" w:firstLine="468"/>
        <w:rPr>
          <w:rFonts w:ascii="Times New Roman" w:hAnsi="Times New Roman" w:cs="Times New Roman"/>
          <w:spacing w:val="-3"/>
          <w:position w:val="17"/>
          <w:lang w:eastAsia="zh-CN"/>
        </w:rPr>
      </w:pPr>
      <w:r w:rsidRPr="001A4B22">
        <w:rPr>
          <w:rFonts w:ascii="Times New Roman" w:hAnsi="Times New Roman" w:cs="Times New Roman"/>
          <w:spacing w:val="-3"/>
          <w:position w:val="17"/>
          <w:lang w:eastAsia="zh-CN"/>
        </w:rPr>
        <w:t>In 2002, the Company realized a gross profit of RMB 106.221 billion yuan, up 11.45% year-on-year; net profit attributable to shareholders of the parent company reached RMB 91.377 billion yuan, up from 10.52% year-on-year, which suggest a desirable level of profitability. By the end of 2022, the Company had total assets worth RMB 9,271.761 billion yuan, up 7.77% from the end of the previous year. Of which, the balance of various loans in home and foreign currencies stood at RMB 4,982.883 billion yuan, up 12.53% from the end of the previous year; liabilities totaled RMB 8,514.463 billion yuan, an increase of 7.66% from the end of the previous year. Specifically, the balance of deposits in home and foreign currencies amounted to RMB 4,736.982 billion yuan, up 9.88% from the end of the previous year. The Company</w:t>
      </w:r>
      <w:r w:rsidR="003D4673" w:rsidRPr="001A4B22">
        <w:rPr>
          <w:rFonts w:ascii="Times New Roman" w:hAnsi="Times New Roman" w:cs="Times New Roman"/>
          <w:spacing w:val="-3"/>
          <w:position w:val="17"/>
          <w:lang w:eastAsia="zh-CN"/>
        </w:rPr>
        <w:t>’</w:t>
      </w:r>
      <w:r w:rsidRPr="001A4B22">
        <w:rPr>
          <w:rFonts w:ascii="Times New Roman" w:hAnsi="Times New Roman" w:cs="Times New Roman"/>
          <w:spacing w:val="-3"/>
          <w:position w:val="17"/>
          <w:lang w:eastAsia="zh-CN"/>
        </w:rPr>
        <w:t>s asset quality has remained stable, with a NPL ratio of 1.09%, down 0.01 percentage point from the end of the previous year; provision coverage stood at 236.44%, down 32.29 percentage points from the end of the previous year.</w:t>
      </w:r>
    </w:p>
    <w:p w14:paraId="0C051B97" w14:textId="77777777" w:rsidR="0069687E" w:rsidRPr="00C30A95" w:rsidRDefault="00000000">
      <w:pPr>
        <w:rPr>
          <w:rFonts w:ascii="Times New Roman" w:eastAsia="宋体" w:hAnsi="Times New Roman" w:cs="Times New Roman"/>
          <w:b/>
          <w:bCs/>
          <w:spacing w:val="-3"/>
          <w:position w:val="17"/>
          <w:sz w:val="24"/>
          <w:szCs w:val="24"/>
          <w:lang w:eastAsia="zh-CN"/>
        </w:rPr>
      </w:pPr>
      <w:r w:rsidRPr="00C30A95">
        <w:rPr>
          <w:rFonts w:ascii="Times New Roman" w:eastAsia="宋体" w:hAnsi="Times New Roman" w:cs="Times New Roman"/>
          <w:b/>
          <w:bCs/>
          <w:spacing w:val="-3"/>
          <w:position w:val="17"/>
          <w:sz w:val="24"/>
          <w:szCs w:val="24"/>
          <w:lang w:eastAsia="zh-CN"/>
        </w:rPr>
        <w:t>III. Risk Alert</w:t>
      </w:r>
    </w:p>
    <w:p w14:paraId="3B001E89" w14:textId="628253F3" w:rsidR="0069687E" w:rsidRPr="00C30A95" w:rsidRDefault="00000000" w:rsidP="009C1A9B">
      <w:pPr>
        <w:pStyle w:val="a3"/>
        <w:spacing w:before="1" w:line="219" w:lineRule="auto"/>
        <w:ind w:left="24" w:firstLineChars="200" w:firstLine="468"/>
        <w:rPr>
          <w:rFonts w:ascii="Times New Roman" w:hAnsi="Times New Roman" w:cs="Times New Roman"/>
          <w:spacing w:val="-3"/>
          <w:position w:val="17"/>
          <w:lang w:eastAsia="zh-CN"/>
        </w:rPr>
      </w:pPr>
      <w:r w:rsidRPr="00C30A95">
        <w:rPr>
          <w:rFonts w:ascii="Times New Roman" w:hAnsi="Times New Roman" w:cs="Times New Roman"/>
          <w:spacing w:val="-3"/>
          <w:position w:val="17"/>
          <w:lang w:eastAsia="zh-CN"/>
        </w:rPr>
        <w:t>The data provided in this Announcement for the year 2022 is considered preliminary and represents the information available from our corporate group. Please note that there may be variations between this data and the information disclosed in the Company</w:t>
      </w:r>
      <w:r w:rsidR="003D4673" w:rsidRPr="00C30A95">
        <w:rPr>
          <w:rFonts w:ascii="Times New Roman" w:hAnsi="Times New Roman" w:cs="Times New Roman"/>
          <w:spacing w:val="-3"/>
          <w:position w:val="17"/>
          <w:lang w:eastAsia="zh-CN"/>
        </w:rPr>
        <w:t>’</w:t>
      </w:r>
      <w:r w:rsidRPr="00C30A95">
        <w:rPr>
          <w:rFonts w:ascii="Times New Roman" w:hAnsi="Times New Roman" w:cs="Times New Roman"/>
          <w:spacing w:val="-3"/>
          <w:position w:val="17"/>
          <w:lang w:eastAsia="zh-CN"/>
        </w:rPr>
        <w:t>s official 2022 Annual Report. However, the such discrepancy should not exceed 10%. Investors are advised to be aware of the potential risks associated with investments.</w:t>
      </w:r>
    </w:p>
    <w:p w14:paraId="0EA04DD5" w14:textId="77777777" w:rsidR="0069687E" w:rsidRPr="00C30A95" w:rsidRDefault="00000000">
      <w:pPr>
        <w:rPr>
          <w:rFonts w:ascii="Times New Roman" w:eastAsia="宋体" w:hAnsi="Times New Roman" w:cs="Times New Roman"/>
          <w:b/>
          <w:bCs/>
          <w:spacing w:val="-3"/>
          <w:position w:val="17"/>
          <w:sz w:val="24"/>
          <w:szCs w:val="24"/>
          <w:lang w:eastAsia="zh-CN"/>
        </w:rPr>
      </w:pPr>
      <w:r w:rsidRPr="00C30A95">
        <w:rPr>
          <w:rFonts w:ascii="Times New Roman" w:eastAsia="宋体" w:hAnsi="Times New Roman" w:cs="Times New Roman"/>
          <w:b/>
          <w:bCs/>
          <w:spacing w:val="-3"/>
          <w:position w:val="17"/>
          <w:sz w:val="24"/>
          <w:szCs w:val="24"/>
          <w:lang w:eastAsia="zh-CN"/>
        </w:rPr>
        <w:t>IV. Documents for Inspection:</w:t>
      </w:r>
    </w:p>
    <w:p w14:paraId="36D6929C" w14:textId="4A37BE1A" w:rsidR="0069687E" w:rsidRPr="00C30A95" w:rsidRDefault="00000000" w:rsidP="009C1A9B">
      <w:pPr>
        <w:pStyle w:val="a3"/>
        <w:spacing w:before="1" w:line="219" w:lineRule="auto"/>
        <w:ind w:left="24" w:firstLineChars="200" w:firstLine="468"/>
        <w:rPr>
          <w:rFonts w:ascii="Times New Roman" w:hAnsi="Times New Roman" w:cs="Times New Roman"/>
          <w:spacing w:val="-3"/>
          <w:position w:val="17"/>
          <w:lang w:eastAsia="zh-CN"/>
        </w:rPr>
      </w:pPr>
      <w:r w:rsidRPr="00C30A95">
        <w:rPr>
          <w:rFonts w:ascii="Times New Roman" w:hAnsi="Times New Roman" w:cs="Times New Roman"/>
          <w:spacing w:val="-3"/>
          <w:position w:val="17"/>
          <w:lang w:eastAsia="zh-CN"/>
        </w:rPr>
        <w:t>Comparative balance sheet and profit statement signed and sealed by the Company</w:t>
      </w:r>
      <w:r w:rsidR="003D4673" w:rsidRPr="00C30A95">
        <w:rPr>
          <w:rFonts w:ascii="Times New Roman" w:hAnsi="Times New Roman" w:cs="Times New Roman"/>
          <w:spacing w:val="-3"/>
          <w:position w:val="17"/>
          <w:lang w:eastAsia="zh-CN"/>
        </w:rPr>
        <w:t>’</w:t>
      </w:r>
      <w:r w:rsidRPr="00C30A95">
        <w:rPr>
          <w:rFonts w:ascii="Times New Roman" w:hAnsi="Times New Roman" w:cs="Times New Roman"/>
          <w:spacing w:val="-3"/>
          <w:position w:val="17"/>
          <w:lang w:eastAsia="zh-CN"/>
        </w:rPr>
        <w:t xml:space="preserve">s </w:t>
      </w:r>
      <w:r w:rsidR="00C30A95" w:rsidRPr="00C30A95">
        <w:rPr>
          <w:rFonts w:ascii="Times New Roman" w:hAnsi="Times New Roman" w:cs="Times New Roman"/>
          <w:spacing w:val="-3"/>
          <w:position w:val="17"/>
          <w:lang w:eastAsia="zh-CN"/>
        </w:rPr>
        <w:t>Board Chairman</w:t>
      </w:r>
      <w:r w:rsidR="00C30A95">
        <w:rPr>
          <w:rFonts w:ascii="Times New Roman" w:hAnsi="Times New Roman" w:cs="Times New Roman"/>
          <w:spacing w:val="-3"/>
          <w:position w:val="17"/>
          <w:lang w:eastAsia="zh-CN"/>
        </w:rPr>
        <w:t xml:space="preserve"> L</w:t>
      </w:r>
      <w:r w:rsidR="00C30A95">
        <w:rPr>
          <w:rFonts w:ascii="Times New Roman" w:hAnsi="Times New Roman" w:cs="Times New Roman" w:hint="eastAsia"/>
          <w:spacing w:val="-3"/>
          <w:position w:val="17"/>
          <w:lang w:eastAsia="zh-CN"/>
        </w:rPr>
        <w:t>y</w:t>
      </w:r>
      <w:r w:rsidR="00C30A95">
        <w:rPr>
          <w:rFonts w:ascii="Times New Roman" w:hAnsi="Times New Roman" w:cs="Times New Roman"/>
          <w:spacing w:val="-3"/>
          <w:position w:val="17"/>
          <w:lang w:eastAsia="zh-CN"/>
        </w:rPr>
        <w:t xml:space="preserve">u </w:t>
      </w:r>
      <w:proofErr w:type="spellStart"/>
      <w:r w:rsidR="00C30A95">
        <w:rPr>
          <w:rFonts w:ascii="Times New Roman" w:hAnsi="Times New Roman" w:cs="Times New Roman"/>
          <w:spacing w:val="-3"/>
          <w:position w:val="17"/>
          <w:lang w:eastAsia="zh-CN"/>
        </w:rPr>
        <w:t>Jiajin</w:t>
      </w:r>
      <w:proofErr w:type="spellEnd"/>
      <w:r w:rsidRPr="00C30A95">
        <w:rPr>
          <w:rFonts w:ascii="Times New Roman" w:hAnsi="Times New Roman" w:cs="Times New Roman"/>
          <w:spacing w:val="-3"/>
          <w:position w:val="17"/>
          <w:lang w:eastAsia="zh-CN"/>
        </w:rPr>
        <w:t xml:space="preserve">, president </w:t>
      </w:r>
      <w:r w:rsidR="00C30A95">
        <w:rPr>
          <w:rFonts w:ascii="Times New Roman" w:hAnsi="Times New Roman" w:cs="Times New Roman"/>
          <w:spacing w:val="-3"/>
          <w:position w:val="17"/>
          <w:lang w:eastAsia="zh-CN"/>
        </w:rPr>
        <w:t xml:space="preserve">Tao Yiping </w:t>
      </w:r>
      <w:r w:rsidRPr="00C30A95">
        <w:rPr>
          <w:rFonts w:ascii="Times New Roman" w:hAnsi="Times New Roman" w:cs="Times New Roman"/>
          <w:spacing w:val="-3"/>
          <w:position w:val="17"/>
          <w:lang w:eastAsia="zh-CN"/>
        </w:rPr>
        <w:t xml:space="preserve">and </w:t>
      </w:r>
      <w:r w:rsidR="00C30A95" w:rsidRPr="00C30A95">
        <w:rPr>
          <w:rFonts w:ascii="Times New Roman" w:hAnsi="Times New Roman" w:cs="Times New Roman"/>
          <w:spacing w:val="-3"/>
          <w:position w:val="17"/>
          <w:lang w:eastAsia="zh-CN"/>
        </w:rPr>
        <w:t>Financial Manager</w:t>
      </w:r>
      <w:r w:rsidR="00C30A95">
        <w:rPr>
          <w:rFonts w:ascii="Times New Roman" w:hAnsi="Times New Roman" w:cs="Times New Roman"/>
          <w:spacing w:val="-3"/>
          <w:position w:val="17"/>
          <w:lang w:eastAsia="zh-CN"/>
        </w:rPr>
        <w:t xml:space="preserve"> Lai </w:t>
      </w:r>
      <w:proofErr w:type="spellStart"/>
      <w:r w:rsidR="00C30A95">
        <w:rPr>
          <w:rFonts w:ascii="Times New Roman" w:hAnsi="Times New Roman" w:cs="Times New Roman"/>
          <w:spacing w:val="-3"/>
          <w:position w:val="17"/>
          <w:lang w:eastAsia="zh-CN"/>
        </w:rPr>
        <w:t>Furong</w:t>
      </w:r>
      <w:proofErr w:type="spellEnd"/>
      <w:r w:rsidRPr="00C30A95">
        <w:rPr>
          <w:rFonts w:ascii="Times New Roman" w:hAnsi="Times New Roman" w:cs="Times New Roman"/>
          <w:spacing w:val="-3"/>
          <w:position w:val="17"/>
          <w:lang w:eastAsia="zh-CN"/>
        </w:rPr>
        <w:t>.</w:t>
      </w:r>
    </w:p>
    <w:p w14:paraId="60C34748" w14:textId="77777777" w:rsidR="0069687E" w:rsidRDefault="0069687E">
      <w:pPr>
        <w:rPr>
          <w:rFonts w:ascii="Times New Roman" w:eastAsiaTheme="minorEastAsia" w:hAnsi="Times New Roman" w:cs="Times New Roman"/>
          <w:sz w:val="20"/>
          <w:szCs w:val="24"/>
          <w:lang w:eastAsia="zh-CN"/>
        </w:rPr>
      </w:pPr>
    </w:p>
    <w:p w14:paraId="061271BE" w14:textId="77777777" w:rsidR="00A613BC" w:rsidRDefault="00A613BC">
      <w:pPr>
        <w:rPr>
          <w:rFonts w:ascii="Times New Roman" w:eastAsiaTheme="minorEastAsia" w:hAnsi="Times New Roman" w:cs="Times New Roman"/>
          <w:sz w:val="20"/>
          <w:szCs w:val="24"/>
          <w:lang w:eastAsia="zh-CN"/>
        </w:rPr>
      </w:pPr>
    </w:p>
    <w:p w14:paraId="46E0B109" w14:textId="77777777" w:rsidR="00A613BC" w:rsidRPr="00A613BC" w:rsidRDefault="00A613BC">
      <w:pPr>
        <w:rPr>
          <w:rFonts w:ascii="Times New Roman" w:eastAsiaTheme="minorEastAsia" w:hAnsi="Times New Roman" w:cs="Times New Roman" w:hint="eastAsia"/>
          <w:sz w:val="20"/>
          <w:szCs w:val="24"/>
          <w:lang w:eastAsia="zh-CN"/>
        </w:rPr>
      </w:pPr>
    </w:p>
    <w:p w14:paraId="3E92827A" w14:textId="77777777" w:rsidR="0069687E" w:rsidRPr="00C3765C" w:rsidRDefault="00000000">
      <w:pPr>
        <w:pStyle w:val="a3"/>
        <w:spacing w:before="78" w:line="468" w:lineRule="exact"/>
        <w:ind w:left="5520"/>
        <w:rPr>
          <w:rFonts w:ascii="Times New Roman" w:hAnsi="Times New Roman" w:cs="Times New Roman"/>
          <w:spacing w:val="-2"/>
          <w:position w:val="17"/>
        </w:rPr>
      </w:pPr>
      <w:r w:rsidRPr="00C3765C">
        <w:rPr>
          <w:rFonts w:ascii="Times New Roman" w:hAnsi="Times New Roman" w:cs="Times New Roman"/>
          <w:spacing w:val="-2"/>
          <w:position w:val="17"/>
        </w:rPr>
        <w:t>Board of Directors of the Industrial Bank Co., Ltd.</w:t>
      </w:r>
    </w:p>
    <w:p w14:paraId="15A45CB0" w14:textId="77777777" w:rsidR="0069687E" w:rsidRPr="00C3765C" w:rsidRDefault="00000000">
      <w:pPr>
        <w:pStyle w:val="a3"/>
        <w:spacing w:before="78" w:line="468" w:lineRule="exact"/>
        <w:ind w:left="5520"/>
        <w:rPr>
          <w:rFonts w:ascii="Times New Roman" w:hAnsi="Times New Roman" w:cs="Times New Roman"/>
          <w:spacing w:val="-2"/>
          <w:position w:val="17"/>
          <w:lang w:eastAsia="zh-CN"/>
        </w:rPr>
      </w:pPr>
      <w:r w:rsidRPr="00C3765C">
        <w:rPr>
          <w:rFonts w:ascii="Times New Roman" w:hAnsi="Times New Roman" w:cs="Times New Roman"/>
          <w:spacing w:val="-2"/>
          <w:position w:val="17"/>
          <w:lang w:val="zh-CN"/>
        </w:rPr>
        <w:t>January 30, 2023</w:t>
      </w:r>
    </w:p>
    <w:sectPr w:rsidR="0069687E" w:rsidRPr="00C3765C">
      <w:footerReference w:type="default" r:id="rId7"/>
      <w:pgSz w:w="11907" w:h="16839"/>
      <w:pgMar w:top="1197" w:right="1530" w:bottom="400" w:left="1545"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49D3" w14:textId="77777777" w:rsidR="00C141BE" w:rsidRDefault="00C141BE">
      <w:r>
        <w:separator/>
      </w:r>
    </w:p>
  </w:endnote>
  <w:endnote w:type="continuationSeparator" w:id="0">
    <w:p w14:paraId="21249A6F" w14:textId="77777777" w:rsidR="00C141BE" w:rsidRDefault="00C1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
    <w:altName w:val="Calibri"/>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FF8E" w14:textId="77777777" w:rsidR="0069687E" w:rsidRDefault="00000000">
    <w:pPr>
      <w:spacing w:line="174" w:lineRule="auto"/>
      <w:ind w:left="4569"/>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E157" w14:textId="77777777" w:rsidR="0069687E" w:rsidRDefault="0069687E">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182A" w14:textId="77777777" w:rsidR="00C141BE" w:rsidRDefault="00C141BE">
      <w:r>
        <w:separator/>
      </w:r>
    </w:p>
  </w:footnote>
  <w:footnote w:type="continuationSeparator" w:id="0">
    <w:p w14:paraId="60224DE9" w14:textId="77777777" w:rsidR="00C141BE" w:rsidRDefault="00C14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4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doNotUseIndentAsNumberingTabStop/>
    <w:compatSetting w:name="compatibilityMode" w:uri="http://schemas.microsoft.com/office/word" w:val="14"/>
    <w:compatSetting w:name="useWord2013TrackBottomHyphenation" w:uri="http://schemas.microsoft.com/office/word" w:val="1"/>
  </w:compat>
  <w:docVars>
    <w:docVar w:name="commondata" w:val="eyJoZGlkIjoiY2Q5YjM4ZWY5N2FkYzgzNDU4NWI4ZDQ4YTY0NWMwMWUifQ=="/>
    <w:docVar w:name="dgnword-docGUID" w:val="{8CEABAE0-31BE-40B9-868A-14311C9C2128}"/>
    <w:docVar w:name="dgnword-eventsink" w:val="885025528"/>
  </w:docVars>
  <w:rsids>
    <w:rsidRoot w:val="00172A27"/>
    <w:rsid w:val="00053388"/>
    <w:rsid w:val="000671AC"/>
    <w:rsid w:val="000914CF"/>
    <w:rsid w:val="00172A27"/>
    <w:rsid w:val="001A4B22"/>
    <w:rsid w:val="003D4673"/>
    <w:rsid w:val="003E300E"/>
    <w:rsid w:val="0048269A"/>
    <w:rsid w:val="004A667E"/>
    <w:rsid w:val="004E1E85"/>
    <w:rsid w:val="004F7479"/>
    <w:rsid w:val="0069687E"/>
    <w:rsid w:val="006E625B"/>
    <w:rsid w:val="009C1A9B"/>
    <w:rsid w:val="00A4152A"/>
    <w:rsid w:val="00A6087D"/>
    <w:rsid w:val="00A613BC"/>
    <w:rsid w:val="00A946FE"/>
    <w:rsid w:val="00B63266"/>
    <w:rsid w:val="00C141BE"/>
    <w:rsid w:val="00C30A95"/>
    <w:rsid w:val="00C3765C"/>
    <w:rsid w:val="00C414A4"/>
    <w:rsid w:val="00CE78F9"/>
    <w:rsid w:val="00E97B63"/>
    <w:rsid w:val="00FB2716"/>
    <w:rsid w:val="04221DEB"/>
    <w:rsid w:val="06732D66"/>
    <w:rsid w:val="06C47189"/>
    <w:rsid w:val="096E365B"/>
    <w:rsid w:val="0D1124F2"/>
    <w:rsid w:val="13DD7524"/>
    <w:rsid w:val="15150099"/>
    <w:rsid w:val="15802E15"/>
    <w:rsid w:val="160B0931"/>
    <w:rsid w:val="169538A4"/>
    <w:rsid w:val="17DB70A1"/>
    <w:rsid w:val="1C4E4BA5"/>
    <w:rsid w:val="2193671F"/>
    <w:rsid w:val="2A737E76"/>
    <w:rsid w:val="2D5B09A0"/>
    <w:rsid w:val="301A206C"/>
    <w:rsid w:val="30937B53"/>
    <w:rsid w:val="30E55C6D"/>
    <w:rsid w:val="315A2865"/>
    <w:rsid w:val="321C34FE"/>
    <w:rsid w:val="34306033"/>
    <w:rsid w:val="34A046C7"/>
    <w:rsid w:val="34E51302"/>
    <w:rsid w:val="36425FBD"/>
    <w:rsid w:val="3A90136C"/>
    <w:rsid w:val="3E7F627A"/>
    <w:rsid w:val="42B314E1"/>
    <w:rsid w:val="43767BC4"/>
    <w:rsid w:val="4A981A8C"/>
    <w:rsid w:val="4E4A7541"/>
    <w:rsid w:val="539F210B"/>
    <w:rsid w:val="5D8F4F70"/>
    <w:rsid w:val="5F2600F2"/>
    <w:rsid w:val="60006806"/>
    <w:rsid w:val="60702901"/>
    <w:rsid w:val="614C3178"/>
    <w:rsid w:val="615C5A4F"/>
    <w:rsid w:val="62465E1A"/>
    <w:rsid w:val="635F3896"/>
    <w:rsid w:val="64E53155"/>
    <w:rsid w:val="66FD5574"/>
    <w:rsid w:val="676D5436"/>
    <w:rsid w:val="67E5502A"/>
    <w:rsid w:val="68F100AB"/>
    <w:rsid w:val="6D727767"/>
    <w:rsid w:val="6EDE4D17"/>
    <w:rsid w:val="712057E7"/>
    <w:rsid w:val="73F626AC"/>
    <w:rsid w:val="7C615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D79D3"/>
  <w15:docId w15:val="{08A2F862-4F83-41AA-91A9-E112FB56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qFormat/>
    <w:rPr>
      <w:rFonts w:ascii="宋体" w:eastAsia="宋体" w:hAnsi="宋体" w:cs="宋体"/>
      <w:sz w:val="24"/>
      <w:szCs w:val="24"/>
    </w:rPr>
  </w:style>
  <w:style w:type="paragraph" w:styleId="a5">
    <w:name w:val="Title"/>
    <w:basedOn w:val="a"/>
    <w:qFormat/>
    <w:pPr>
      <w:widowControl w:val="0"/>
      <w:spacing w:before="15"/>
      <w:ind w:left="1458" w:right="1711"/>
      <w:jc w:val="center"/>
    </w:pPr>
    <w:rPr>
      <w:rFonts w:ascii="宋体" w:eastAsia="宋体" w:hAnsi="宋体" w:cs="Times New Roman" w:hint="eastAsia"/>
      <w:sz w:val="36"/>
      <w:szCs w:val="36"/>
      <w:lang w:eastAsia="zh-CN"/>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宋体" w:eastAsia="宋体" w:hAnsi="宋体" w:cs="宋体"/>
      <w:sz w:val="24"/>
      <w:szCs w:val="24"/>
    </w:rPr>
  </w:style>
  <w:style w:type="paragraph" w:styleId="a6">
    <w:name w:val="header"/>
    <w:basedOn w:val="a"/>
    <w:link w:val="a7"/>
    <w:rsid w:val="00C3765C"/>
    <w:pPr>
      <w:tabs>
        <w:tab w:val="center" w:pos="4153"/>
        <w:tab w:val="right" w:pos="8306"/>
      </w:tabs>
      <w:jc w:val="center"/>
    </w:pPr>
    <w:rPr>
      <w:sz w:val="18"/>
      <w:szCs w:val="18"/>
    </w:rPr>
  </w:style>
  <w:style w:type="character" w:customStyle="1" w:styleId="a7">
    <w:name w:val="页眉 字符"/>
    <w:basedOn w:val="a0"/>
    <w:link w:val="a6"/>
    <w:rsid w:val="00C3765C"/>
    <w:rPr>
      <w:rFonts w:ascii="Arial" w:eastAsia="Arial" w:hAnsi="Arial" w:cs="Arial"/>
      <w:snapToGrid w:val="0"/>
      <w:color w:val="000000"/>
      <w:sz w:val="18"/>
      <w:szCs w:val="18"/>
      <w:lang w:eastAsia="en-US"/>
    </w:rPr>
  </w:style>
  <w:style w:type="paragraph" w:styleId="a8">
    <w:name w:val="footer"/>
    <w:basedOn w:val="a"/>
    <w:link w:val="a9"/>
    <w:rsid w:val="00C3765C"/>
    <w:pPr>
      <w:tabs>
        <w:tab w:val="center" w:pos="4153"/>
        <w:tab w:val="right" w:pos="8306"/>
      </w:tabs>
    </w:pPr>
    <w:rPr>
      <w:sz w:val="18"/>
      <w:szCs w:val="18"/>
    </w:rPr>
  </w:style>
  <w:style w:type="character" w:customStyle="1" w:styleId="a9">
    <w:name w:val="页脚 字符"/>
    <w:basedOn w:val="a0"/>
    <w:link w:val="a8"/>
    <w:rsid w:val="00C3765C"/>
    <w:rPr>
      <w:rFonts w:ascii="Arial" w:eastAsia="Arial" w:hAnsi="Arial" w:cs="Arial"/>
      <w:snapToGrid w:val="0"/>
      <w:color w:val="000000"/>
      <w:sz w:val="18"/>
      <w:szCs w:val="18"/>
      <w:lang w:eastAsia="en-US"/>
    </w:rPr>
  </w:style>
  <w:style w:type="character" w:customStyle="1" w:styleId="a4">
    <w:name w:val="正文文本 字符"/>
    <w:basedOn w:val="a0"/>
    <w:link w:val="a3"/>
    <w:semiHidden/>
    <w:rsid w:val="00C30A95"/>
    <w:rPr>
      <w:rFonts w:ascii="宋体" w:hAnsi="宋体" w:cs="宋体"/>
      <w:snapToGrid w:val="0"/>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3</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第二十二号 上市公司重大事项停牌公告</dc:title>
  <dc:creator>user</dc:creator>
  <cp:lastModifiedBy>TN</cp:lastModifiedBy>
  <cp:revision>28</cp:revision>
  <dcterms:created xsi:type="dcterms:W3CDTF">2023-01-30T16:53:00Z</dcterms:created>
  <dcterms:modified xsi:type="dcterms:W3CDTF">2023-08-03T09:01:00Z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2023-07-28T15:43:35Z</vt:filetime>
  </property>
  <property fmtid="{D5CDD505-2E9C-101B-9397-08002B2CF9AE}" pid="4" name="KSOProductBuildVer">
    <vt:lpwstr>2052-12.1.0.15120</vt:lpwstr>
  </property>
  <property fmtid="{D5CDD505-2E9C-101B-9397-08002B2CF9AE}" pid="5" name="ICV">
    <vt:lpwstr>8A33D84750E349A89C2FC5277E64A013_13</vt:lpwstr>
  </property>
</Properties>
</file>